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香河县</w:t>
      </w:r>
      <w:r>
        <w:rPr>
          <w:rFonts w:hint="eastAsia" w:ascii="Times New Roman" w:hAnsi="Times New Roman" w:eastAsia="方正小标宋简体" w:cs="Times New Roman"/>
          <w:sz w:val="44"/>
          <w:szCs w:val="44"/>
        </w:rPr>
        <w:t>行政审批局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22</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按照《中华人民共和国预算法》、《中华人民共和国预算法实施条例》、《地方预决算公开操作规程》和《河北省省级预算公开办法》规定，现将香河县</w:t>
      </w:r>
      <w:r>
        <w:rPr>
          <w:rFonts w:hint="eastAsia" w:ascii="Times New Roman" w:hAnsi="Times New Roman" w:eastAsia="仿宋_GB2312" w:cs="Times New Roman"/>
          <w:sz w:val="32"/>
          <w:szCs w:val="32"/>
        </w:rPr>
        <w:t>行政审批局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部门职责：</w:t>
      </w:r>
      <w:r>
        <w:rPr>
          <w:rFonts w:hint="eastAsia" w:ascii="Times New Roman" w:hAnsi="Times New Roman" w:eastAsia="仿宋_GB2312" w:cs="Times New Roman"/>
          <w:sz w:val="32"/>
          <w:szCs w:val="32"/>
        </w:rPr>
        <w:t>根据《香河县行政审批局职能配置、内设机构和人员编制规定》， 香河县行政审批局的主要职责是：</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1.贯彻执行党中央国务院、省委省政府，市委市政府、县委县政府“放管服”改革、行政审批制度改革、政务服务管理、公共资源交易市场管理有关方针政策和法律法规。拟订有关政策，协调指导并监督实施。</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组织协调全县“放管服”改革工作。指导、督促贯彻落实党中央国务院、省委省政府、市委市政府、县委县政府关于“放管服”改革重要领域、关键环节重大政策措施，承担县推进政府职能转变和“放管服”改革协调小组的日常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3.指导协调全县行政审批制度改革工作。建立健全行政审批管理体系；推进简政放权，清理和规范各类行政许可等管理事项；协调推进行政审批标准化工作；承担县行政审批制度改革工作领导小组的日常工作。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负责办理划转至县行政审批局的行政审批事项，负责材料受理、材料审核、现场勘验核查、核发证书，并对审批行为承担相应的法律责任；负责对划入的行政审批事项进行流程再造和环节优化；负责与监管部门的联系沟通，建立健全审批与监管的有效衔接机制。</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指导协调全县政务服务管理工作。负责优化政务服务供给，降低制度性交易成本，提升政务服务效能；负责推进审批服务便民化；指导协调县有关部门为公民、法入或其他组织提供规范、高效、优质的政务服务。</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负责综合协调和监督管理县级各部门行政审批等事项和公共服务事项的集中统一办理；推进重点项目审批服务的综合协调和督办；组织相关部门开展审批服务事项的联合办理和联审会办；研究推进并联审批服务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协调指导全县公共资源交易市场工作。拟订全县公共资源交易市场管理制度和规则；编制全县公共资源交易目录；负责管理和利用统一的公共资源交易电子服务系统；负责推进全县公共资源交易领域信用体系建设；依据公共资源交易平台管理细则和办法等相关规定，履行管理和服务的职责；依法协调相关部门开展县本级公共资源交易活动的联动执法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统筹推进全县“互联网+政务服务”工作，构建全县一体化政务服务平台。推行政务服务事项网上办理，形成管理机构、实体大厅、网上平台“三位一体”的管理模式；推进全县电子证照库建设；推进全县政务服务平台规范化、标准化、集约化建设和互联互通、数据共享。</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建立健全全县行政审批服务、政务服务效能可量化的考核评价制度；对进驻政务服务大厅的部门进行综合考评，对进驻事项的办理情况、办理效能，以及办事人员的服务质量等进行监督；负责对垂管部门和有关单位派驻窗口的规范、管理和监督；负责受理对本单位及派驻单位行政审批行为的投诉举报，会同有关部门查处行政审批方面的违纪违规行为。</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10.指导监督镇便民服务中心业务工作，不断优化行政审批、政务服务管理模式。指导和监督镇便民服务中心规范化建设，协调镇便民服务中心与县有关部门，建立完善县镇审批服务联动工作机制。</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11.完成县委、县政府交办的其他任务。</w:t>
      </w:r>
    </w:p>
    <w:p>
      <w:pPr>
        <w:spacing w:line="584" w:lineRule="exact"/>
        <w:ind w:firstLine="643" w:firstLineChars="200"/>
        <w:rPr>
          <w:rFonts w:ascii="Times New Roman" w:hAnsi="Times New Roman" w:eastAsia="楷体_GB2312" w:cs="Times New Roman"/>
          <w:b/>
          <w:sz w:val="32"/>
          <w:szCs w:val="32"/>
        </w:rPr>
      </w:pPr>
    </w:p>
    <w:p>
      <w:pPr>
        <w:spacing w:line="584" w:lineRule="exact"/>
        <w:ind w:firstLine="643" w:firstLineChars="200"/>
        <w:rPr>
          <w:rFonts w:ascii="Times New Roman" w:hAnsi="Times New Roman" w:eastAsia="楷体_GB2312" w:cs="Times New Roman"/>
          <w:b/>
          <w:sz w:val="32"/>
          <w:szCs w:val="32"/>
        </w:rPr>
      </w:pPr>
    </w:p>
    <w:p>
      <w:pPr>
        <w:spacing w:line="584" w:lineRule="exact"/>
        <w:ind w:firstLine="643" w:firstLineChars="200"/>
        <w:rPr>
          <w:rFonts w:ascii="Times New Roman" w:hAnsi="Times New Roman" w:eastAsia="楷体_GB2312" w:cs="Times New Roman"/>
          <w:b/>
          <w:sz w:val="32"/>
          <w:szCs w:val="32"/>
        </w:rPr>
      </w:pPr>
    </w:p>
    <w:p>
      <w:pPr>
        <w:spacing w:line="584" w:lineRule="exact"/>
        <w:ind w:firstLine="643" w:firstLineChars="200"/>
        <w:rPr>
          <w:rFonts w:ascii="Times New Roman" w:hAnsi="Times New Roman" w:eastAsia="楷体_GB2312" w:cs="Times New Roman"/>
          <w:b/>
          <w:sz w:val="32"/>
          <w:szCs w:val="32"/>
        </w:rPr>
      </w:pPr>
    </w:p>
    <w:p>
      <w:pPr>
        <w:spacing w:line="584" w:lineRule="exact"/>
        <w:ind w:firstLine="643" w:firstLineChars="200"/>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香河县行政审批局</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行政单位</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财政拨款（行政）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b/>
                <w:bCs/>
                <w:lang w:val="en-US" w:eastAsia="zh-CN"/>
              </w:rPr>
              <w:t>香河县公共资源交易中心</w:t>
            </w:r>
          </w:p>
        </w:tc>
        <w:tc>
          <w:tcPr>
            <w:tcW w:w="1134" w:type="dxa"/>
            <w:shd w:val="clear" w:color="auto" w:fill="auto"/>
            <w:vAlign w:val="center"/>
          </w:tcPr>
          <w:p>
            <w:pPr>
              <w:spacing w:line="584"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b/>
                <w:bCs/>
                <w:lang w:val="en-US" w:eastAsia="zh-CN"/>
              </w:rPr>
              <w:t>事业单位</w:t>
            </w:r>
          </w:p>
        </w:tc>
        <w:tc>
          <w:tcPr>
            <w:tcW w:w="1276" w:type="dxa"/>
            <w:shd w:val="clear" w:color="auto" w:fill="auto"/>
            <w:vAlign w:val="center"/>
          </w:tcPr>
          <w:p>
            <w:pPr>
              <w:spacing w:line="584" w:lineRule="exact"/>
              <w:jc w:val="center"/>
              <w:rPr>
                <w:rFonts w:hint="eastAsia" w:ascii="Times New Roman" w:hAnsi="Times New Roman" w:eastAsia="仿宋_GB2312" w:cs="Times New Roman"/>
                <w:lang w:val="en-US" w:eastAsia="zh-CN"/>
              </w:rPr>
            </w:pPr>
            <w:bookmarkStart w:id="15" w:name="_GoBack"/>
            <w:r>
              <w:rPr>
                <w:rFonts w:hint="eastAsia" w:ascii="Times New Roman" w:hAnsi="Times New Roman" w:eastAsia="仿宋_GB2312" w:cs="Times New Roman"/>
                <w:b/>
                <w:bCs/>
                <w:lang w:val="en-US" w:eastAsia="zh-CN"/>
              </w:rPr>
              <w:t>正股级</w:t>
            </w:r>
            <w:bookmarkEnd w:id="15"/>
          </w:p>
        </w:tc>
        <w:tc>
          <w:tcPr>
            <w:tcW w:w="2902" w:type="dxa"/>
            <w:shd w:val="clear" w:color="auto" w:fill="auto"/>
            <w:vAlign w:val="center"/>
          </w:tcPr>
          <w:p>
            <w:pPr>
              <w:spacing w:line="584" w:lineRule="exact"/>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b/>
              </w:rPr>
              <w:t>财政性资金基本保证（全额事业）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部门预算的编制实行综合预算制度，即全部收入和支出都反映在预算中。香河县</w:t>
      </w:r>
      <w:r>
        <w:rPr>
          <w:rFonts w:hint="eastAsia" w:ascii="Times New Roman" w:hAnsi="Times New Roman" w:eastAsia="仿宋_GB2312" w:cs="Times New Roman"/>
          <w:sz w:val="32"/>
          <w:szCs w:val="32"/>
        </w:rPr>
        <w:t>行政审批局</w:t>
      </w:r>
      <w:r>
        <w:rPr>
          <w:rFonts w:ascii="Times New Roman" w:hAnsi="Times New Roman" w:eastAsia="仿宋_GB2312" w:cs="Times New Roman"/>
          <w:sz w:val="32"/>
          <w:szCs w:val="32"/>
        </w:rPr>
        <w:t>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3095.41</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3095.41</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收支预算总表支出栏、基本支出表、项目支出表按经济分类和支出功能分类科目编制，反映香河县</w:t>
      </w:r>
      <w:r>
        <w:rPr>
          <w:rFonts w:hint="eastAsia" w:ascii="Times New Roman" w:hAnsi="Times New Roman" w:eastAsia="仿宋_GB2312" w:cs="Times New Roman"/>
          <w:sz w:val="32"/>
          <w:szCs w:val="32"/>
        </w:rPr>
        <w:t>行政审批局2022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3095.41</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926.59</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688.94</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237.64</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2168.82</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rPr>
        <w:t>2168.82</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日常办公业务费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第三方委托业务费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便民服务大厅维修基金</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3095.41</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rPr>
        <w:t>1415.78</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减少51.31</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人员经费</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rPr>
        <w:t>1467.09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便民服务大厅维修基金等</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rPr>
        <w:t>237.64</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支付劳务派遣人员工资、购买各项办公用品及办公耗材、邮电费</w:t>
      </w:r>
      <w:r>
        <w:rPr>
          <w:rFonts w:ascii="Times New Roman" w:hAnsi="Times New Roman" w:eastAsia="仿宋_GB2312" w:cs="Times New Roman"/>
          <w:sz w:val="32"/>
          <w:szCs w:val="32"/>
        </w:rPr>
        <w:t>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rPr>
        <w:t>1.9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1.9</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1.9</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减少</w:t>
      </w:r>
      <w:r>
        <w:rPr>
          <w:rFonts w:hint="eastAsia" w:ascii="Times New Roman" w:hAnsi="Times New Roman" w:eastAsia="仿宋_GB2312" w:cs="Times New Roman"/>
          <w:sz w:val="32"/>
          <w:szCs w:val="32"/>
        </w:rPr>
        <w:t>0.5万元，主要原因是我单位切实落实勤俭节约各项规定，压减公车运行经费支出</w:t>
      </w:r>
      <w:r>
        <w:rPr>
          <w:rFonts w:ascii="Times New Roman" w:hAnsi="Times New Roman" w:eastAsia="仿宋_GB2312" w:cs="Times New Roman"/>
          <w:sz w:val="32"/>
          <w:szCs w:val="32"/>
        </w:rPr>
        <w:t>。</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1.贯彻执行党中央国务院、省委省政府，市委市政府、县委县政府“放管服”改革、行政审批制度改革、政务服务管理、公共资源交易市场管理有关方针政策和法律法规。拟订有关政策，协调指导并监督实施。</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组织协调全县“放管服”改革工作。指导、督促贯彻落实党中央国务院、省委省政府、市委市政府、县委县政府关于“放管服”改革重要领域、关键环节重大政策措施，承担县推进政府职能转变和“放管服”改革协调小组的日常工作。</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3.指导协调全县行政审批制度改革工作。建立健全行政审批管理体系；推进简政放权，清理和规范各类行政许可等管理事项；协调推进行政审批标准化工作；承担县行政审批制度改革工作领导小组的日常工作。</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负责办理划转至县行政审批局的行政审批事项，负责材料受理、材料审核、现场勘验核查、核发证书，并对审批行为承担相应的法律责任；负责对划入的行政审批事项进行流程再造和环节优化；负责与监管部门的联系沟通，建立健全审批与监管的有效衔接机制。</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指导协调全县政务服务管理工作。负责优化政务服务供给，降低制度性交易成本，提升政务服务效能；负责推进审批服务便民化；指导协调县有关部门为公民、法入或其他组织提供规范、高效、优质的政务服务。</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6.负责综合协调和监督管理县级各部门行政审批等事项和公共服务事项的集中统一办理；推进重点项目审批服务的综合协调和督办；组织相关部门开展审批服务事项的联合办理和联审会办；研究推进并联审批服务工作。</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7.协调指导全县公共资源交易市场工作。拟订全县公共资源交易市场管理制度和规则；编制全县公共资源交易目录；负责管理和利用统一的公共资源交易电子服务系统；负责推进全县公共资源交易领域信用体系建设；依据公共资源交易平台管理细则和办法等相关规定，履行管理和服务的职责；依法协调相关部门开展县本级公共资源交易活动的联动执法工作。</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8.统筹推进全县“互联网+政务服务”工作，构建全县一体化政务服务平台。推行政务服务事项网上办理，形成管理机构、实体大厅、网上平台“三位一体”的管理模式；推进全县电子证照库建设；推进全县政务服务平台规范化、标准化、集约化建设和互联互通、数据共享。</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9.建立健全全县行政审批服务、政务服务效能可量化的考核评价制度；对进驻政务服务大厅的部门进行综合考评，对进驻事项的办理情况、办理效能，以及办事人员的服务质量等进行监督；负责对垂管部门和有关单位派驻窗口的规范、管理和监督；负责受理对本单位及派驻单位行政审批行为的投诉举报，会同有关部门查处行政审批方面的违纪违规行为。</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10.指导监督镇便民服务中心业务工作，不断优化行政审批、政务服务管理模式。指导和监督镇便民服务中心规范化建设，协调镇便民服务中心与县有关部门，建立完善县镇审批服务联动工作机制。</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11.完成县委、县政府交办的其他任务。</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p>
    <w:p>
      <w:pPr>
        <w:spacing w:line="584" w:lineRule="exact"/>
        <w:ind w:firstLine="643" w:firstLineChars="200"/>
        <w:rPr>
          <w:rFonts w:ascii="楷体_GB2312" w:eastAsia="楷体_GB2312" w:cs="Times New Roman"/>
          <w:b/>
          <w:sz w:val="32"/>
          <w:szCs w:val="32"/>
        </w:rPr>
      </w:pPr>
    </w:p>
    <w:p>
      <w:pPr>
        <w:numPr>
          <w:ilvl w:val="0"/>
          <w:numId w:val="1"/>
        </w:num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分项绩效目标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1、狠抓大厅管理</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是加强硬件建设。建设“二维码墙”，通过对高频事项进行认真梳理，推出百件高频审批事项“二维码墙”，对审批事项建立电子身份“二维码”，办事群众通过手机、平板电脑等移动电子设备扫描二维码即可快速、便捷地知晓该事项的办理对象、办理条件、办理依据、所需材料、办理流程等信息，便于办事群众随时随地查看、保存。二是完善软件建设。为加强政务服务标准化、精细化管理，提升窗口工作人员服务大局、服务群众的能力，通过各项制度的修订与完善，规范窗口人员的行为，提升服务效能，秉承“高效、便民、务实、廉洁”的服务宗旨，营造优质政务服务环境。</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2、提升政务服务便利度</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是推进“一网通办”。按照省、市相关政务服务标准化要求，全面推进“一网通办”，为优化营商环境、便利企业和群众办事、激发市场活力和社会创造力、建设人民满意的服务型政府提供有力支撑。二是建设“电子证照库”。按照廊坊市推进“互联网+政务服务”工作领导小组的工作部署，为加快推进政务服务“一网通办”，我单位将完成与市级证照库的对接工作，录入电子证照模板，导入历史证照信息，并以OFD格式推送电子证照信息。三是打造“24小时不打烊”服务。着力升级行政审批各项服务，不断整合资源，并通过“综合型自助服务区+政务一体机”相结合的模式，填补“八小时工作制”外的盲区，为群众和企业提供“24小时不打烊”的服务。四是免费提供“纳入政府审批程序的技术性服务”。针对我单位投资项目股、社会事务股、市场服务股等股室开展的社会团体成立登记及注销、民办非企业单位成立登记及注销、食品生产许可及变更、公共场所卫生检测、委托第三方现场勘验、固定资产投资项目核准等业务，包含纳入政府部门审批程序的技术性服务事项，以政府资金的形式，提供免费技术性服务。</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3、继续推进“互联网+政务服务”工作</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推进我县政务服务“一网、一门、一次”改革工作，解决企业和群众反映强烈的办事难、办事慢、办事繁等问题，全面提升政务服务质量和水平，全面提升全县营商环境竞争力，推动企业和群众办事线上“一网通办”（一网），线下“只进一扇门”（一门），现场办理“最多跑一次”（一次），让企业和群众到政府办事更方便、更快捷、更有效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4、加强交易中心建设</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是规范交易工作流程。结合工作实际，制定规范的公共资源交易流程管理制度，逐步完善交易现场管理制度，优化工程建设招投标、政府采购等交易工作流程，确保项目从受理、组织、评审、监督等环节运转流畅。二是运作好物理平台。继续将服务好五大类交易作为工作重点，以“空间+制度+科技”为手段，加快构筑集中受理、分区布局、物理隔离、电子升级、全程监控、相互制约的交易、监管、服务“三分离”公共资源交易平台体系，有效解决公开性和透明度不够，跑风漏气等问题。三是做好保证金系统安装调试工作。全面实行保证金网上收取退付，方便投标企业。</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5、提升队伍素质</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继续开展队伍素质提升工程，确保全局审批工作人员，在实现精通本职业务、熟练掌握网上审批技能的基础上，学习其他相关审批业务知识，内强素质、外树形象，形成学习工作化，工作学习化常态机制，进而精通本科室全部业务，逐步实现全局审批事项通会通办。同时，通过培训机构对审批局及便民大厅各窗口进行专项业务培训，培训内容包括“政务服务标准化、政务服务礼仪、互联网+政务、审批窗口专项法规”等内容，加强对县审批局专业人员的系统培训，培养一批“一专多能”的业务骨干，推动全局审批服务工作不断向前发展。</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6、加强廉政教育</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以“三深化三提升”、“不忘实心、牢记使命”主题教育活动为载体，通过专题廉政教育活动不断增强工作人员的效率意识和服务意识，确保廉政教育深入人心，让党的组织纪律真正成为带电的“高压线”。同时，以服务质量赢得群众的认可，打造一支作风过硬、素质优良、业务精通的服务型工作队伍。</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p>
    <w:p>
      <w:pPr>
        <w:numPr>
          <w:ilvl w:val="0"/>
          <w:numId w:val="1"/>
        </w:num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工作保障措施</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制定队伍建设方案，分析队伍建设现状，明确存在的问题和发展的方向，确定队伍建设指导思想和目标以及队伍建设的主要措施，着力抓好措施的落实。 </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加强理论武装。组织和推动全体工作人员继续深入学习党的十九大精神，学习中央和省市县委重大决策部署，学习宪法和重要法律法规等知识，在把握关键点、理解创新点、找准着力点和贯彻落实上下功夫，提升把大局、定方向、观大势、谋大事的能力，提高运用科学理论分析判断形势、研究解决问题的能力，切实把思想和行动统一到中央和省市县委确定的目标任务上来，把智慧和力量凝聚到为全面深化改革和全面建成小康社会作贡献上来。</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加强机关建设。全面加强机关党的思想建设、组织建设、作风建设、制度建设和反腐倡廉建设，通过强化思想政治教育和职业道德教育，严格党的组织生活，抓好学习培训等方式，着力提高干部队伍综合素质；通过完善制度抓承诺，健全机制抓督查，强化责任抓落实，赏罚分明抓典型等途径，加强干部队伍管理；通过严明工作纪律，细化工作标准，实行工作问责等措施，切实转变干部队伍作风。</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3、创新管理使用机制，促进人才成长。一是激活现有人才存量，在组织结构调整和人员遴选中，通过科学设置岗位，组织公开公平公正和有序应聘，使各类人员在各自岗位上充分发挥专业特长。二是建立科学的人才考核机制，充分运用考评结果，奖优罚劣，激励人才成长和作用的发挥。三是深化收入分配制度改革。落实按岗位定酬，按任务定酬，按业绩定酬的原则，向重要和关键岗位倾斜，重奖杰出贡献人员，激励人才成长与事业发展。 </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加强人才工作组织领导。建立人才工作责任制，设立人才工作考核目标，把对人才工作的考核作为考核和使用干部的重要内容，形成制度，长期抓下去，并建立责任追究制。对不重视人才工作，人才工作平平，甚至嫉妒人才，压制人才成长的领导予以追究。 </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sectPr>
          <w:footerReference r:id="rId3" w:type="default"/>
          <w:pgSz w:w="11907" w:h="16839"/>
          <w:pgMar w:top="1984" w:right="1304" w:bottom="1134" w:left="1304" w:header="851" w:footer="992" w:gutter="0"/>
          <w:pgNumType w:start="1"/>
          <w:cols w:space="720" w:num="1"/>
          <w:docGrid w:type="lines" w:linePitch="312" w:charSpace="0"/>
        </w:sectPr>
      </w:pPr>
    </w:p>
    <w:p>
      <w:pPr>
        <w:spacing w:line="584" w:lineRule="exact"/>
        <w:ind w:left="420" w:leftChars="200"/>
        <w:rPr>
          <w:rFonts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外出培训次数</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优：大于等于95%；良：大于等于85%；中：大于等于75%；差：小于75%</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外出培训次数</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95</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百分之</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根据实际调查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外出培训人员合格率</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优：大于等于95%；良：大于等于85%；中：大于等于75%；差：小于75%</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外出培训人员合格率</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95</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百分之</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根据调查问卷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项目开始时间</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优：大于等于95%；良：大于等于85%；中：大于等于75%；差：小于75%</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项目开始时间</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95</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百分之</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根据实际调查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项目完成率</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优：大于等于95%；良：大于等于85%；中：大于等于75%；差：小于75%</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项目完成率</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95</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百分之</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根据调查问卷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工作完成率</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优：大于等于95%；良：大于等于85%；中：大于等于75%；差：小于75%</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工作完成率</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95</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百分之</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根据往年经验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rPr>
            </w:pPr>
          </w:p>
        </w:tc>
        <w:tc>
          <w:tcPr>
            <w:tcW w:w="2172"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能力提升率</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优：大于等于95%；良：大于等于85%；中：大于等于75%；差：小于75%</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能力提升率</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95</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百分之</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根据实际调查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897"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项目完善率</w:t>
            </w:r>
          </w:p>
        </w:tc>
        <w:tc>
          <w:tcPr>
            <w:tcW w:w="2172"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优：大于等于95%；良：大于等于85%；中：大于等于75%；差：小于75%</w:t>
            </w:r>
          </w:p>
        </w:tc>
        <w:tc>
          <w:tcPr>
            <w:tcW w:w="1483"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项目完善率</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95</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百分之</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根据实际调查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服务对象满意度</w:t>
            </w:r>
          </w:p>
        </w:tc>
        <w:tc>
          <w:tcPr>
            <w:tcW w:w="2172"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优：大于等于95%；良：大于等于85%；中：大于等于75%；差：小于75%</w:t>
            </w:r>
          </w:p>
        </w:tc>
        <w:tc>
          <w:tcPr>
            <w:tcW w:w="1483"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服务对象满意度</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95</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百分之</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根据实际调查</w:t>
            </w:r>
          </w:p>
        </w:tc>
      </w:tr>
    </w:tbl>
    <w:p>
      <w:pPr>
        <w:spacing w:line="584" w:lineRule="exact"/>
        <w:rPr>
          <w:rFonts w:ascii="仿宋_GB2312" w:eastAsia="仿宋_GB2312" w:cs="Times New Roman"/>
          <w:sz w:val="32"/>
          <w:szCs w:val="32"/>
        </w:rPr>
      </w:pPr>
    </w:p>
    <w:p>
      <w:pPr>
        <w:numPr>
          <w:ilvl w:val="0"/>
          <w:numId w:val="2"/>
        </w:num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资金绩效目标</w:t>
      </w:r>
    </w:p>
    <w:p>
      <w:pPr>
        <w:pStyle w:val="18"/>
        <w:ind w:left="420" w:firstLine="0" w:firstLineChars="0"/>
        <w:outlineLvl w:val="3"/>
      </w:pPr>
      <w:bookmarkStart w:id="0" w:name="_Toc_4_4_0000000004"/>
      <w:r>
        <w:rPr>
          <w:rFonts w:ascii="方正仿宋_GBK" w:hAnsi="方正仿宋_GBK" w:eastAsia="方正仿宋_GBK" w:cs="方正仿宋_GBK"/>
          <w:color w:val="000000"/>
          <w:sz w:val="28"/>
        </w:rPr>
        <w:t>1.预算外人员工资、社保缴费、住房公积金绩效目标表</w:t>
      </w:r>
      <w:bookmarkEnd w:id="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ind w:left="420"/>
            </w:pPr>
            <w:r>
              <w:t>209001香河县行政审批局本级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5"/>
            </w:pPr>
            <w:r>
              <w:t>13102422P007868100017</w:t>
            </w:r>
          </w:p>
        </w:tc>
        <w:tc>
          <w:tcPr>
            <w:tcW w:w="1587" w:type="dxa"/>
            <w:vAlign w:val="center"/>
          </w:tcPr>
          <w:p>
            <w:pPr>
              <w:pStyle w:val="16"/>
            </w:pPr>
            <w:r>
              <w:t>项目名称</w:t>
            </w:r>
          </w:p>
        </w:tc>
        <w:tc>
          <w:tcPr>
            <w:tcW w:w="4422" w:type="dxa"/>
            <w:gridSpan w:val="3"/>
            <w:vAlign w:val="center"/>
          </w:tcPr>
          <w:p>
            <w:pPr>
              <w:pStyle w:val="15"/>
            </w:pPr>
            <w:r>
              <w:t>预算外人员工资、社保缴费、住房公积金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11.50</w:t>
            </w:r>
          </w:p>
        </w:tc>
        <w:tc>
          <w:tcPr>
            <w:tcW w:w="1587" w:type="dxa"/>
            <w:vAlign w:val="center"/>
          </w:tcPr>
          <w:p>
            <w:pPr>
              <w:pStyle w:val="16"/>
            </w:pPr>
            <w:r>
              <w:t>其中：财政    资金</w:t>
            </w:r>
          </w:p>
        </w:tc>
        <w:tc>
          <w:tcPr>
            <w:tcW w:w="1304" w:type="dxa"/>
            <w:vAlign w:val="center"/>
          </w:tcPr>
          <w:p>
            <w:pPr>
              <w:pStyle w:val="15"/>
            </w:pPr>
            <w:r>
              <w:t>11.50</w:t>
            </w:r>
          </w:p>
        </w:tc>
        <w:tc>
          <w:tcPr>
            <w:tcW w:w="1276" w:type="dxa"/>
            <w:vAlign w:val="center"/>
          </w:tcPr>
          <w:p>
            <w:pPr>
              <w:pStyle w:val="16"/>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预算外人员工资、保险缴费、住房公积金支出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25%</w:t>
            </w:r>
          </w:p>
        </w:tc>
        <w:tc>
          <w:tcPr>
            <w:tcW w:w="1587" w:type="dxa"/>
            <w:vAlign w:val="center"/>
          </w:tcPr>
          <w:p>
            <w:pPr>
              <w:pStyle w:val="17"/>
            </w:pPr>
            <w:r>
              <w:t>50%</w:t>
            </w:r>
          </w:p>
        </w:tc>
        <w:tc>
          <w:tcPr>
            <w:tcW w:w="1304" w:type="dxa"/>
            <w:vAlign w:val="center"/>
          </w:tcPr>
          <w:p>
            <w:pPr>
              <w:pStyle w:val="17"/>
            </w:pPr>
            <w:r>
              <w:t>75%</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5"/>
            </w:pPr>
            <w:r>
              <w:t>1.目标内容1</w:t>
            </w:r>
          </w:p>
        </w:tc>
      </w:tr>
    </w:tbl>
    <w:p>
      <w:pPr>
        <w:pStyle w:val="18"/>
        <w:numPr>
          <w:ilvl w:val="0"/>
          <w:numId w:val="3"/>
        </w:numPr>
        <w:spacing w:line="2" w:lineRule="exact"/>
        <w:ind w:firstLineChars="0"/>
        <w:jc w:val="center"/>
      </w:pPr>
      <w:r>
        <w:rPr>
          <w:rFonts w:ascii="方正书宋_GBK" w:hAnsi="方正书宋_GBK" w:eastAsia="方正书宋_GBK" w:cs="方正书宋_GBK"/>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拨款额度</w:t>
            </w:r>
          </w:p>
        </w:tc>
        <w:tc>
          <w:tcPr>
            <w:tcW w:w="2891" w:type="dxa"/>
            <w:vAlign w:val="center"/>
          </w:tcPr>
          <w:p>
            <w:pPr>
              <w:pStyle w:val="15"/>
            </w:pPr>
            <w:r>
              <w:t>拨款额度</w:t>
            </w:r>
          </w:p>
        </w:tc>
        <w:tc>
          <w:tcPr>
            <w:tcW w:w="1276" w:type="dxa"/>
            <w:vAlign w:val="center"/>
          </w:tcPr>
          <w:p>
            <w:pPr>
              <w:pStyle w:val="15"/>
            </w:pPr>
            <w:r>
              <w:t>0.95万元/月</w:t>
            </w:r>
          </w:p>
        </w:tc>
        <w:tc>
          <w:tcPr>
            <w:tcW w:w="1843" w:type="dxa"/>
            <w:vAlign w:val="center"/>
          </w:tcPr>
          <w:p>
            <w:pPr>
              <w:pStyle w:val="15"/>
            </w:pPr>
            <w:r>
              <w:t>根据年初预算数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资金按时支付</w:t>
            </w:r>
          </w:p>
        </w:tc>
        <w:tc>
          <w:tcPr>
            <w:tcW w:w="2891" w:type="dxa"/>
            <w:vAlign w:val="center"/>
          </w:tcPr>
          <w:p>
            <w:pPr>
              <w:pStyle w:val="15"/>
            </w:pPr>
            <w:r>
              <w:t>资金按时支付</w:t>
            </w:r>
          </w:p>
        </w:tc>
        <w:tc>
          <w:tcPr>
            <w:tcW w:w="1276" w:type="dxa"/>
            <w:vAlign w:val="center"/>
          </w:tcPr>
          <w:p>
            <w:pPr>
              <w:pStyle w:val="15"/>
            </w:pPr>
            <w:r>
              <w:t>12月</w:t>
            </w:r>
          </w:p>
        </w:tc>
        <w:tc>
          <w:tcPr>
            <w:tcW w:w="1843" w:type="dxa"/>
            <w:vAlign w:val="center"/>
          </w:tcPr>
          <w:p>
            <w:pPr>
              <w:pStyle w:val="15"/>
            </w:pPr>
            <w:r>
              <w:t>根据年初预算按时支出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实施进度</w:t>
            </w:r>
          </w:p>
        </w:tc>
        <w:tc>
          <w:tcPr>
            <w:tcW w:w="2891" w:type="dxa"/>
            <w:vAlign w:val="center"/>
          </w:tcPr>
          <w:p>
            <w:pPr>
              <w:pStyle w:val="15"/>
            </w:pPr>
            <w:r>
              <w:t>实施进度</w:t>
            </w:r>
          </w:p>
        </w:tc>
        <w:tc>
          <w:tcPr>
            <w:tcW w:w="1276" w:type="dxa"/>
            <w:vAlign w:val="center"/>
          </w:tcPr>
          <w:p>
            <w:pPr>
              <w:pStyle w:val="15"/>
            </w:pPr>
            <w:r>
              <w:t>95%</w:t>
            </w:r>
          </w:p>
        </w:tc>
        <w:tc>
          <w:tcPr>
            <w:tcW w:w="1843" w:type="dxa"/>
            <w:vAlign w:val="center"/>
          </w:tcPr>
          <w:p>
            <w:pPr>
              <w:pStyle w:val="15"/>
            </w:pPr>
            <w:r>
              <w:t>根据预算安排进度执行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预算控制数</w:t>
            </w:r>
          </w:p>
        </w:tc>
        <w:tc>
          <w:tcPr>
            <w:tcW w:w="2891" w:type="dxa"/>
            <w:vAlign w:val="center"/>
          </w:tcPr>
          <w:p>
            <w:pPr>
              <w:pStyle w:val="15"/>
            </w:pPr>
            <w:r>
              <w:t>预算控制数</w:t>
            </w:r>
          </w:p>
        </w:tc>
        <w:tc>
          <w:tcPr>
            <w:tcW w:w="1276" w:type="dxa"/>
            <w:vAlign w:val="center"/>
          </w:tcPr>
          <w:p>
            <w:pPr>
              <w:pStyle w:val="15"/>
            </w:pPr>
            <w:r>
              <w:t>0.95万元/月</w:t>
            </w:r>
          </w:p>
        </w:tc>
        <w:tc>
          <w:tcPr>
            <w:tcW w:w="1843" w:type="dxa"/>
            <w:vAlign w:val="center"/>
          </w:tcPr>
          <w:p>
            <w:pPr>
              <w:pStyle w:val="15"/>
            </w:pPr>
            <w:r>
              <w:t>根据年初预算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业务保障能力</w:t>
            </w:r>
          </w:p>
        </w:tc>
        <w:tc>
          <w:tcPr>
            <w:tcW w:w="2891" w:type="dxa"/>
            <w:vAlign w:val="center"/>
          </w:tcPr>
          <w:p>
            <w:pPr>
              <w:pStyle w:val="15"/>
            </w:pPr>
            <w:r>
              <w:t>保障相关业务、工作开展情况</w:t>
            </w:r>
          </w:p>
        </w:tc>
        <w:tc>
          <w:tcPr>
            <w:tcW w:w="1276" w:type="dxa"/>
            <w:vAlign w:val="center"/>
          </w:tcPr>
          <w:p>
            <w:pPr>
              <w:pStyle w:val="15"/>
            </w:pPr>
            <w:r>
              <w:t>有一定社会效益</w:t>
            </w:r>
          </w:p>
        </w:tc>
        <w:tc>
          <w:tcPr>
            <w:tcW w:w="1843" w:type="dxa"/>
            <w:vAlign w:val="center"/>
          </w:tcPr>
          <w:p>
            <w:pPr>
              <w:pStyle w:val="15"/>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可持续性</w:t>
            </w:r>
          </w:p>
        </w:tc>
        <w:tc>
          <w:tcPr>
            <w:tcW w:w="2891" w:type="dxa"/>
            <w:vAlign w:val="center"/>
          </w:tcPr>
          <w:p>
            <w:pPr>
              <w:pStyle w:val="15"/>
            </w:pPr>
            <w:r>
              <w:t>可持续性</w:t>
            </w:r>
          </w:p>
        </w:tc>
        <w:tc>
          <w:tcPr>
            <w:tcW w:w="1276" w:type="dxa"/>
            <w:vAlign w:val="center"/>
          </w:tcPr>
          <w:p>
            <w:pPr>
              <w:pStyle w:val="15"/>
            </w:pPr>
            <w:r>
              <w:t>有一定可持续性</w:t>
            </w:r>
          </w:p>
        </w:tc>
        <w:tc>
          <w:tcPr>
            <w:tcW w:w="1843" w:type="dxa"/>
            <w:vAlign w:val="center"/>
          </w:tcPr>
          <w:p>
            <w:pPr>
              <w:pStyle w:val="15"/>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干部职工满意度</w:t>
            </w:r>
          </w:p>
        </w:tc>
        <w:tc>
          <w:tcPr>
            <w:tcW w:w="2891" w:type="dxa"/>
            <w:vAlign w:val="center"/>
          </w:tcPr>
          <w:p>
            <w:pPr>
              <w:pStyle w:val="15"/>
            </w:pPr>
            <w:r>
              <w:t>干部职工满意度</w:t>
            </w:r>
          </w:p>
        </w:tc>
        <w:tc>
          <w:tcPr>
            <w:tcW w:w="1276" w:type="dxa"/>
            <w:vAlign w:val="center"/>
          </w:tcPr>
          <w:p>
            <w:pPr>
              <w:pStyle w:val="15"/>
            </w:pPr>
            <w:r>
              <w:t>≥90%</w:t>
            </w:r>
          </w:p>
        </w:tc>
        <w:tc>
          <w:tcPr>
            <w:tcW w:w="1843" w:type="dxa"/>
            <w:vAlign w:val="center"/>
          </w:tcPr>
          <w:p>
            <w:pPr>
              <w:pStyle w:val="15"/>
            </w:pPr>
            <w:r>
              <w:t>工作总结、调查问卷</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0"/>
        <w:outlineLvl w:val="3"/>
      </w:pPr>
      <w:bookmarkStart w:id="1" w:name="_Toc_4_4_0000000005"/>
      <w:r>
        <w:rPr>
          <w:rFonts w:ascii="方正仿宋_GBK" w:hAnsi="方正仿宋_GBK" w:eastAsia="方正仿宋_GBK" w:cs="方正仿宋_GBK"/>
          <w:color w:val="000000"/>
          <w:sz w:val="28"/>
        </w:rPr>
        <w:t>2.便民中心维修基金绩效目标表</w:t>
      </w:r>
      <w:bookmarkEnd w:id="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ind w:left="420"/>
            </w:pPr>
            <w:r>
              <w:t>209001香河县行政审批局本级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5"/>
            </w:pPr>
            <w:r>
              <w:t>13102422P00783710030U</w:t>
            </w:r>
          </w:p>
        </w:tc>
        <w:tc>
          <w:tcPr>
            <w:tcW w:w="1587" w:type="dxa"/>
            <w:vAlign w:val="center"/>
          </w:tcPr>
          <w:p>
            <w:pPr>
              <w:pStyle w:val="16"/>
            </w:pPr>
            <w:r>
              <w:t>项目名称</w:t>
            </w:r>
          </w:p>
        </w:tc>
        <w:tc>
          <w:tcPr>
            <w:tcW w:w="4422" w:type="dxa"/>
            <w:gridSpan w:val="3"/>
            <w:vAlign w:val="center"/>
          </w:tcPr>
          <w:p>
            <w:pPr>
              <w:pStyle w:val="15"/>
            </w:pPr>
            <w:r>
              <w:t>便民中心维修基金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50.16</w:t>
            </w:r>
          </w:p>
        </w:tc>
        <w:tc>
          <w:tcPr>
            <w:tcW w:w="1587" w:type="dxa"/>
            <w:vAlign w:val="center"/>
          </w:tcPr>
          <w:p>
            <w:pPr>
              <w:pStyle w:val="16"/>
            </w:pPr>
            <w:r>
              <w:t>其中：财政    资金</w:t>
            </w:r>
          </w:p>
        </w:tc>
        <w:tc>
          <w:tcPr>
            <w:tcW w:w="1304" w:type="dxa"/>
            <w:vAlign w:val="center"/>
          </w:tcPr>
          <w:p>
            <w:pPr>
              <w:pStyle w:val="15"/>
            </w:pPr>
            <w:r>
              <w:t>50.16</w:t>
            </w:r>
          </w:p>
        </w:tc>
        <w:tc>
          <w:tcPr>
            <w:tcW w:w="1276" w:type="dxa"/>
            <w:vAlign w:val="center"/>
          </w:tcPr>
          <w:p>
            <w:pPr>
              <w:pStyle w:val="16"/>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便民中心维修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 xml:space="preserve"> </w:t>
            </w:r>
          </w:p>
        </w:tc>
        <w:tc>
          <w:tcPr>
            <w:tcW w:w="1304" w:type="dxa"/>
            <w:vAlign w:val="center"/>
          </w:tcPr>
          <w:p>
            <w:pPr>
              <w:pStyle w:val="17"/>
            </w:pPr>
            <w:r>
              <w:t xml:space="preserve"> </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5"/>
            </w:pPr>
            <w:r>
              <w:t>1.通过项目的开展，方便了基层群众办事，提高了审批的集中度，提升行政审批现场办结率，为提升行政办事效能提供良好履职基础，提高群众满意度。</w:t>
            </w:r>
          </w:p>
        </w:tc>
      </w:tr>
    </w:tbl>
    <w:p>
      <w:pPr>
        <w:spacing w:line="2" w:lineRule="exact"/>
        <w:jc w:val="center"/>
      </w:pPr>
      <w:r>
        <w:rPr>
          <w:rFonts w:ascii="方正书宋_GBK" w:hAnsi="方正书宋_GBK" w:eastAsia="方正书宋_GBK" w:cs="方正书宋_GBK"/>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服务时间</w:t>
            </w:r>
          </w:p>
        </w:tc>
        <w:tc>
          <w:tcPr>
            <w:tcW w:w="2891" w:type="dxa"/>
            <w:vAlign w:val="center"/>
          </w:tcPr>
          <w:p>
            <w:pPr>
              <w:pStyle w:val="15"/>
            </w:pPr>
            <w:r>
              <w:t>服务时间</w:t>
            </w:r>
          </w:p>
        </w:tc>
        <w:tc>
          <w:tcPr>
            <w:tcW w:w="1276" w:type="dxa"/>
            <w:vAlign w:val="center"/>
          </w:tcPr>
          <w:p>
            <w:pPr>
              <w:pStyle w:val="15"/>
            </w:pPr>
            <w:r>
              <w:t>≥12月</w:t>
            </w:r>
          </w:p>
        </w:tc>
        <w:tc>
          <w:tcPr>
            <w:tcW w:w="1843" w:type="dxa"/>
            <w:vAlign w:val="center"/>
          </w:tcPr>
          <w:p>
            <w:pPr>
              <w:pStyle w:val="15"/>
            </w:pPr>
            <w:r>
              <w:t>根据服务合同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稳定性</w:t>
            </w:r>
          </w:p>
        </w:tc>
        <w:tc>
          <w:tcPr>
            <w:tcW w:w="2891" w:type="dxa"/>
            <w:vAlign w:val="center"/>
          </w:tcPr>
          <w:p>
            <w:pPr>
              <w:pStyle w:val="15"/>
            </w:pPr>
            <w:r>
              <w:t>稳定性</w:t>
            </w:r>
          </w:p>
        </w:tc>
        <w:tc>
          <w:tcPr>
            <w:tcW w:w="1276" w:type="dxa"/>
            <w:vAlign w:val="center"/>
          </w:tcPr>
          <w:p>
            <w:pPr>
              <w:pStyle w:val="15"/>
            </w:pPr>
            <w:r>
              <w:t>≥95百分之</w:t>
            </w:r>
          </w:p>
        </w:tc>
        <w:tc>
          <w:tcPr>
            <w:tcW w:w="1843" w:type="dxa"/>
            <w:vAlign w:val="center"/>
          </w:tcPr>
          <w:p>
            <w:pPr>
              <w:pStyle w:val="15"/>
            </w:pPr>
            <w: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运维开始时间</w:t>
            </w:r>
          </w:p>
        </w:tc>
        <w:tc>
          <w:tcPr>
            <w:tcW w:w="2891" w:type="dxa"/>
            <w:vAlign w:val="center"/>
          </w:tcPr>
          <w:p>
            <w:pPr>
              <w:pStyle w:val="15"/>
            </w:pPr>
            <w:r>
              <w:t>运维开始时间</w:t>
            </w:r>
          </w:p>
        </w:tc>
        <w:tc>
          <w:tcPr>
            <w:tcW w:w="1276" w:type="dxa"/>
            <w:vAlign w:val="center"/>
          </w:tcPr>
          <w:p>
            <w:pPr>
              <w:pStyle w:val="15"/>
            </w:pPr>
            <w:r>
              <w:t>2022年1月</w:t>
            </w:r>
          </w:p>
        </w:tc>
        <w:tc>
          <w:tcPr>
            <w:tcW w:w="1843" w:type="dxa"/>
            <w:vAlign w:val="center"/>
          </w:tcPr>
          <w:p>
            <w:pPr>
              <w:pStyle w:val="15"/>
            </w:pPr>
            <w:r>
              <w:t>根据服务合同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运维结束时间</w:t>
            </w:r>
          </w:p>
        </w:tc>
        <w:tc>
          <w:tcPr>
            <w:tcW w:w="2891" w:type="dxa"/>
            <w:vAlign w:val="center"/>
          </w:tcPr>
          <w:p>
            <w:pPr>
              <w:pStyle w:val="15"/>
            </w:pPr>
            <w:r>
              <w:t>运维结束时间</w:t>
            </w:r>
          </w:p>
        </w:tc>
        <w:tc>
          <w:tcPr>
            <w:tcW w:w="1276" w:type="dxa"/>
            <w:vAlign w:val="center"/>
          </w:tcPr>
          <w:p>
            <w:pPr>
              <w:pStyle w:val="15"/>
            </w:pPr>
            <w:r>
              <w:t>2022年12月</w:t>
            </w:r>
          </w:p>
        </w:tc>
        <w:tc>
          <w:tcPr>
            <w:tcW w:w="1843" w:type="dxa"/>
            <w:vAlign w:val="center"/>
          </w:tcPr>
          <w:p>
            <w:pPr>
              <w:pStyle w:val="15"/>
            </w:pPr>
            <w:r>
              <w:t>根据服务合同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项目预算控制数</w:t>
            </w:r>
          </w:p>
        </w:tc>
        <w:tc>
          <w:tcPr>
            <w:tcW w:w="2891" w:type="dxa"/>
            <w:vAlign w:val="center"/>
          </w:tcPr>
          <w:p>
            <w:pPr>
              <w:pStyle w:val="15"/>
            </w:pPr>
            <w:r>
              <w:t>开展此项目的成本</w:t>
            </w:r>
          </w:p>
        </w:tc>
        <w:tc>
          <w:tcPr>
            <w:tcW w:w="1276" w:type="dxa"/>
            <w:vAlign w:val="center"/>
          </w:tcPr>
          <w:p>
            <w:pPr>
              <w:pStyle w:val="15"/>
            </w:pPr>
            <w:r>
              <w:t>≤50.16万元</w:t>
            </w:r>
          </w:p>
        </w:tc>
        <w:tc>
          <w:tcPr>
            <w:tcW w:w="1843" w:type="dxa"/>
            <w:vAlign w:val="center"/>
          </w:tcPr>
          <w:p>
            <w:pPr>
              <w:pStyle w:val="15"/>
            </w:pPr>
            <w:r>
              <w:t>根据预算申请明细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加强政务平台的建设和管理，建立和完善政务服务体系</w:t>
            </w:r>
          </w:p>
        </w:tc>
        <w:tc>
          <w:tcPr>
            <w:tcW w:w="2891" w:type="dxa"/>
            <w:vAlign w:val="center"/>
          </w:tcPr>
          <w:p>
            <w:pPr>
              <w:pStyle w:val="15"/>
            </w:pPr>
            <w:r>
              <w:t>加强政务平台的建设和管理，建立和完善政务服务体系</w:t>
            </w:r>
          </w:p>
        </w:tc>
        <w:tc>
          <w:tcPr>
            <w:tcW w:w="1276" w:type="dxa"/>
            <w:vAlign w:val="center"/>
          </w:tcPr>
          <w:p>
            <w:pPr>
              <w:pStyle w:val="15"/>
            </w:pPr>
            <w:r>
              <w:t>加强政务平台的建设和管理</w:t>
            </w:r>
          </w:p>
        </w:tc>
        <w:tc>
          <w:tcPr>
            <w:tcW w:w="1843" w:type="dxa"/>
            <w:vAlign w:val="center"/>
          </w:tcPr>
          <w:p>
            <w:pPr>
              <w:pStyle w:val="15"/>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通过日常业务办公平台的完善</w:t>
            </w:r>
          </w:p>
        </w:tc>
        <w:tc>
          <w:tcPr>
            <w:tcW w:w="2891" w:type="dxa"/>
            <w:vAlign w:val="center"/>
          </w:tcPr>
          <w:p>
            <w:pPr>
              <w:pStyle w:val="15"/>
            </w:pPr>
            <w:r>
              <w:t>保障日常工作的顺利进行，提高办公效率</w:t>
            </w:r>
          </w:p>
        </w:tc>
        <w:tc>
          <w:tcPr>
            <w:tcW w:w="1276" w:type="dxa"/>
            <w:vAlign w:val="center"/>
          </w:tcPr>
          <w:p>
            <w:pPr>
              <w:pStyle w:val="15"/>
            </w:pPr>
            <w:r>
              <w:t>起到可持续影响</w:t>
            </w:r>
          </w:p>
        </w:tc>
        <w:tc>
          <w:tcPr>
            <w:tcW w:w="1843" w:type="dxa"/>
            <w:vAlign w:val="center"/>
          </w:tcPr>
          <w:p>
            <w:pPr>
              <w:pStyle w:val="15"/>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服务对象满意度</w:t>
            </w:r>
          </w:p>
        </w:tc>
        <w:tc>
          <w:tcPr>
            <w:tcW w:w="2891" w:type="dxa"/>
            <w:vAlign w:val="center"/>
          </w:tcPr>
          <w:p>
            <w:pPr>
              <w:pStyle w:val="15"/>
            </w:pPr>
            <w:r>
              <w:t>服务对象对第三方开展相应工作的满意程度</w:t>
            </w:r>
          </w:p>
        </w:tc>
        <w:tc>
          <w:tcPr>
            <w:tcW w:w="1276" w:type="dxa"/>
            <w:vAlign w:val="center"/>
          </w:tcPr>
          <w:p>
            <w:pPr>
              <w:pStyle w:val="15"/>
            </w:pPr>
            <w:r>
              <w:t>≥95百分之</w:t>
            </w:r>
          </w:p>
        </w:tc>
        <w:tc>
          <w:tcPr>
            <w:tcW w:w="1843" w:type="dxa"/>
            <w:vAlign w:val="center"/>
          </w:tcPr>
          <w:p>
            <w:pPr>
              <w:pStyle w:val="15"/>
            </w:pPr>
            <w:r>
              <w:t>根据实际调查、询问</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0"/>
        <w:outlineLvl w:val="3"/>
      </w:pPr>
      <w:bookmarkStart w:id="2" w:name="_Toc_4_4_0000000006"/>
      <w:r>
        <w:rPr>
          <w:rFonts w:ascii="方正仿宋_GBK" w:hAnsi="方正仿宋_GBK" w:eastAsia="方正仿宋_GBK" w:cs="方正仿宋_GBK"/>
          <w:color w:val="000000"/>
          <w:sz w:val="28"/>
        </w:rPr>
        <w:t>3.单位办公场所租金绩效目标表</w:t>
      </w:r>
      <w:bookmarkEnd w:id="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ind w:left="420"/>
            </w:pPr>
            <w:r>
              <w:t>209001香河县行政审批局本级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5"/>
            </w:pPr>
            <w:r>
              <w:t>13102422P00802710002W</w:t>
            </w:r>
          </w:p>
        </w:tc>
        <w:tc>
          <w:tcPr>
            <w:tcW w:w="1587" w:type="dxa"/>
            <w:vAlign w:val="center"/>
          </w:tcPr>
          <w:p>
            <w:pPr>
              <w:pStyle w:val="16"/>
            </w:pPr>
            <w:r>
              <w:t>项目名称</w:t>
            </w:r>
          </w:p>
        </w:tc>
        <w:tc>
          <w:tcPr>
            <w:tcW w:w="4422" w:type="dxa"/>
            <w:gridSpan w:val="3"/>
            <w:vAlign w:val="center"/>
          </w:tcPr>
          <w:p>
            <w:pPr>
              <w:pStyle w:val="15"/>
            </w:pPr>
            <w:r>
              <w:t>单位办公场所租金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1460.75</w:t>
            </w:r>
          </w:p>
        </w:tc>
        <w:tc>
          <w:tcPr>
            <w:tcW w:w="1587" w:type="dxa"/>
            <w:vAlign w:val="center"/>
          </w:tcPr>
          <w:p>
            <w:pPr>
              <w:pStyle w:val="16"/>
            </w:pPr>
            <w:r>
              <w:t>其中：财政    资金</w:t>
            </w:r>
          </w:p>
        </w:tc>
        <w:tc>
          <w:tcPr>
            <w:tcW w:w="1304" w:type="dxa"/>
            <w:vAlign w:val="center"/>
          </w:tcPr>
          <w:p>
            <w:pPr>
              <w:pStyle w:val="15"/>
            </w:pPr>
            <w:r>
              <w:t>1460.75</w:t>
            </w:r>
          </w:p>
        </w:tc>
        <w:tc>
          <w:tcPr>
            <w:tcW w:w="1276" w:type="dxa"/>
            <w:vAlign w:val="center"/>
          </w:tcPr>
          <w:p>
            <w:pPr>
              <w:pStyle w:val="16"/>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单位办公场所租金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 xml:space="preserve"> </w:t>
            </w:r>
          </w:p>
        </w:tc>
        <w:tc>
          <w:tcPr>
            <w:tcW w:w="1304" w:type="dxa"/>
            <w:vAlign w:val="center"/>
          </w:tcPr>
          <w:p>
            <w:pPr>
              <w:pStyle w:val="17"/>
            </w:pPr>
            <w:r>
              <w:t xml:space="preserve"> </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5"/>
            </w:pPr>
            <w:r>
              <w:t>1.单办公场所租金，保障单位各项事务正常开展</w:t>
            </w:r>
          </w:p>
        </w:tc>
      </w:tr>
    </w:tbl>
    <w:p>
      <w:pPr>
        <w:spacing w:line="2" w:lineRule="exact"/>
        <w:jc w:val="center"/>
      </w:pPr>
      <w:r>
        <w:rPr>
          <w:rFonts w:ascii="方正书宋_GBK" w:hAnsi="方正书宋_GBK" w:eastAsia="方正书宋_GBK" w:cs="方正书宋_GBK"/>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办公面积</w:t>
            </w:r>
          </w:p>
        </w:tc>
        <w:tc>
          <w:tcPr>
            <w:tcW w:w="2891" w:type="dxa"/>
            <w:vAlign w:val="center"/>
          </w:tcPr>
          <w:p>
            <w:pPr>
              <w:pStyle w:val="15"/>
            </w:pPr>
            <w:r>
              <w:t>租赁场所办公面积</w:t>
            </w:r>
          </w:p>
        </w:tc>
        <w:tc>
          <w:tcPr>
            <w:tcW w:w="1276" w:type="dxa"/>
            <w:vAlign w:val="center"/>
          </w:tcPr>
          <w:p>
            <w:pPr>
              <w:pStyle w:val="15"/>
            </w:pPr>
            <w:r>
              <w:t>8763.57平方米</w:t>
            </w:r>
          </w:p>
        </w:tc>
        <w:tc>
          <w:tcPr>
            <w:tcW w:w="1843" w:type="dxa"/>
            <w:vAlign w:val="center"/>
          </w:tcPr>
          <w:p>
            <w:pPr>
              <w:pStyle w:val="15"/>
            </w:pPr>
            <w:r>
              <w:t>根据实际测量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完成率</w:t>
            </w:r>
          </w:p>
        </w:tc>
        <w:tc>
          <w:tcPr>
            <w:tcW w:w="2891" w:type="dxa"/>
            <w:vAlign w:val="center"/>
          </w:tcPr>
          <w:p>
            <w:pPr>
              <w:pStyle w:val="15"/>
            </w:pPr>
            <w:r>
              <w:t>完成率</w:t>
            </w:r>
          </w:p>
        </w:tc>
        <w:tc>
          <w:tcPr>
            <w:tcW w:w="1276" w:type="dxa"/>
            <w:vAlign w:val="center"/>
          </w:tcPr>
          <w:p>
            <w:pPr>
              <w:pStyle w:val="15"/>
            </w:pPr>
            <w:r>
              <w:t>≥95百分之</w:t>
            </w:r>
          </w:p>
        </w:tc>
        <w:tc>
          <w:tcPr>
            <w:tcW w:w="1843" w:type="dxa"/>
            <w:vAlign w:val="center"/>
          </w:tcPr>
          <w:p>
            <w:pPr>
              <w:pStyle w:val="15"/>
            </w:pPr>
            <w: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租赁时间</w:t>
            </w:r>
          </w:p>
        </w:tc>
        <w:tc>
          <w:tcPr>
            <w:tcW w:w="2891" w:type="dxa"/>
            <w:vAlign w:val="center"/>
          </w:tcPr>
          <w:p>
            <w:pPr>
              <w:pStyle w:val="15"/>
            </w:pPr>
            <w:r>
              <w:t>租赁办公场所时间</w:t>
            </w:r>
          </w:p>
        </w:tc>
        <w:tc>
          <w:tcPr>
            <w:tcW w:w="1276" w:type="dxa"/>
            <w:vAlign w:val="center"/>
          </w:tcPr>
          <w:p>
            <w:pPr>
              <w:pStyle w:val="15"/>
            </w:pPr>
            <w:r>
              <w:t>12月</w:t>
            </w:r>
          </w:p>
        </w:tc>
        <w:tc>
          <w:tcPr>
            <w:tcW w:w="1843" w:type="dxa"/>
            <w:vAlign w:val="center"/>
          </w:tcPr>
          <w:p>
            <w:pPr>
              <w:pStyle w:val="15"/>
            </w:pPr>
            <w: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租赁成本</w:t>
            </w:r>
          </w:p>
        </w:tc>
        <w:tc>
          <w:tcPr>
            <w:tcW w:w="2891" w:type="dxa"/>
            <w:vAlign w:val="center"/>
          </w:tcPr>
          <w:p>
            <w:pPr>
              <w:pStyle w:val="15"/>
            </w:pPr>
            <w:r>
              <w:t>租赁办公场所成本</w:t>
            </w:r>
          </w:p>
        </w:tc>
        <w:tc>
          <w:tcPr>
            <w:tcW w:w="1276" w:type="dxa"/>
            <w:vAlign w:val="center"/>
          </w:tcPr>
          <w:p>
            <w:pPr>
              <w:pStyle w:val="15"/>
            </w:pPr>
            <w:r>
              <w:t>≤1460.75万元</w:t>
            </w:r>
          </w:p>
        </w:tc>
        <w:tc>
          <w:tcPr>
            <w:tcW w:w="1843" w:type="dxa"/>
            <w:vAlign w:val="center"/>
          </w:tcPr>
          <w:p>
            <w:pPr>
              <w:pStyle w:val="15"/>
            </w:pPr>
            <w: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社会影响度</w:t>
            </w:r>
          </w:p>
        </w:tc>
        <w:tc>
          <w:tcPr>
            <w:tcW w:w="2891" w:type="dxa"/>
            <w:vAlign w:val="center"/>
          </w:tcPr>
          <w:p>
            <w:pPr>
              <w:pStyle w:val="15"/>
            </w:pPr>
            <w:r>
              <w:t>减少资金浪费，增加资金的合理利用</w:t>
            </w:r>
          </w:p>
        </w:tc>
        <w:tc>
          <w:tcPr>
            <w:tcW w:w="1276" w:type="dxa"/>
            <w:vAlign w:val="center"/>
          </w:tcPr>
          <w:p>
            <w:pPr>
              <w:pStyle w:val="15"/>
            </w:pPr>
            <w:r>
              <w:t>≥95百分之</w:t>
            </w:r>
          </w:p>
        </w:tc>
        <w:tc>
          <w:tcPr>
            <w:tcW w:w="1843" w:type="dxa"/>
            <w:vAlign w:val="center"/>
          </w:tcPr>
          <w:p>
            <w:pPr>
              <w:pStyle w:val="15"/>
            </w:pPr>
            <w:r>
              <w:t>根据问卷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对工作未来发展的影响时间</w:t>
            </w:r>
          </w:p>
        </w:tc>
        <w:tc>
          <w:tcPr>
            <w:tcW w:w="2891" w:type="dxa"/>
            <w:vAlign w:val="center"/>
          </w:tcPr>
          <w:p>
            <w:pPr>
              <w:pStyle w:val="15"/>
            </w:pPr>
            <w:r>
              <w:t>对工作未来发展的影响时间</w:t>
            </w:r>
          </w:p>
        </w:tc>
        <w:tc>
          <w:tcPr>
            <w:tcW w:w="1276" w:type="dxa"/>
            <w:vAlign w:val="center"/>
          </w:tcPr>
          <w:p>
            <w:pPr>
              <w:pStyle w:val="15"/>
            </w:pPr>
            <w:r>
              <w:t>12月</w:t>
            </w:r>
          </w:p>
        </w:tc>
        <w:tc>
          <w:tcPr>
            <w:tcW w:w="1843" w:type="dxa"/>
            <w:vAlign w:val="center"/>
          </w:tcPr>
          <w:p>
            <w:pPr>
              <w:pStyle w:val="15"/>
            </w:pPr>
            <w:r>
              <w:t>根据问卷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服务群众满意度</w:t>
            </w:r>
          </w:p>
        </w:tc>
        <w:tc>
          <w:tcPr>
            <w:tcW w:w="2891" w:type="dxa"/>
            <w:vAlign w:val="center"/>
          </w:tcPr>
          <w:p>
            <w:pPr>
              <w:pStyle w:val="15"/>
            </w:pPr>
            <w:r>
              <w:t>服务群众满意度</w:t>
            </w:r>
          </w:p>
        </w:tc>
        <w:tc>
          <w:tcPr>
            <w:tcW w:w="1276" w:type="dxa"/>
            <w:vAlign w:val="center"/>
          </w:tcPr>
          <w:p>
            <w:pPr>
              <w:pStyle w:val="15"/>
            </w:pPr>
            <w:r>
              <w:t>≥95百分之</w:t>
            </w:r>
          </w:p>
        </w:tc>
        <w:tc>
          <w:tcPr>
            <w:tcW w:w="1843" w:type="dxa"/>
            <w:vAlign w:val="center"/>
          </w:tcPr>
          <w:p>
            <w:pPr>
              <w:pStyle w:val="15"/>
            </w:pPr>
            <w:r>
              <w:t>根据问卷</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0"/>
        <w:outlineLvl w:val="3"/>
      </w:pPr>
      <w:bookmarkStart w:id="3" w:name="_Toc_4_4_0000000007"/>
      <w:r>
        <w:rPr>
          <w:rFonts w:ascii="方正仿宋_GBK" w:hAnsi="方正仿宋_GBK" w:eastAsia="方正仿宋_GBK" w:cs="方正仿宋_GBK"/>
          <w:color w:val="000000"/>
          <w:sz w:val="28"/>
        </w:rPr>
        <w:t>4.第三方委托业务费绩效目标表</w:t>
      </w:r>
      <w:bookmarkEnd w:id="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ind w:left="420"/>
            </w:pPr>
            <w:r>
              <w:t>209001香河县行政审批局本级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5"/>
            </w:pPr>
            <w:r>
              <w:t>13102422P00KE3510002H</w:t>
            </w:r>
          </w:p>
        </w:tc>
        <w:tc>
          <w:tcPr>
            <w:tcW w:w="1587" w:type="dxa"/>
            <w:vAlign w:val="center"/>
          </w:tcPr>
          <w:p>
            <w:pPr>
              <w:pStyle w:val="16"/>
            </w:pPr>
            <w:r>
              <w:t>项目名称</w:t>
            </w:r>
          </w:p>
        </w:tc>
        <w:tc>
          <w:tcPr>
            <w:tcW w:w="4422" w:type="dxa"/>
            <w:gridSpan w:val="3"/>
            <w:vAlign w:val="center"/>
          </w:tcPr>
          <w:p>
            <w:pPr>
              <w:pStyle w:val="15"/>
            </w:pPr>
            <w:r>
              <w:t>第三方委托业务费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300.00</w:t>
            </w:r>
          </w:p>
        </w:tc>
        <w:tc>
          <w:tcPr>
            <w:tcW w:w="1587" w:type="dxa"/>
            <w:vAlign w:val="center"/>
          </w:tcPr>
          <w:p>
            <w:pPr>
              <w:pStyle w:val="16"/>
            </w:pPr>
            <w:r>
              <w:t>其中：财政    资金</w:t>
            </w:r>
          </w:p>
        </w:tc>
        <w:tc>
          <w:tcPr>
            <w:tcW w:w="1304" w:type="dxa"/>
            <w:vAlign w:val="center"/>
          </w:tcPr>
          <w:p>
            <w:pPr>
              <w:pStyle w:val="15"/>
            </w:pPr>
            <w:r>
              <w:t>300.00</w:t>
            </w:r>
          </w:p>
        </w:tc>
        <w:tc>
          <w:tcPr>
            <w:tcW w:w="1276" w:type="dxa"/>
            <w:vAlign w:val="center"/>
          </w:tcPr>
          <w:p>
            <w:pPr>
              <w:pStyle w:val="16"/>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第三方委托业务费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30%</w:t>
            </w:r>
          </w:p>
        </w:tc>
        <w:tc>
          <w:tcPr>
            <w:tcW w:w="1304" w:type="dxa"/>
            <w:vAlign w:val="center"/>
          </w:tcPr>
          <w:p>
            <w:pPr>
              <w:pStyle w:val="17"/>
            </w:pPr>
            <w:r>
              <w:t>60%</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5"/>
            </w:pPr>
            <w:r>
              <w:t>1.通过项目的开展，保证了消防设计审查、验收职能，企业投资项目核准职能，政府投资项目建议书批复职能，政府投资可研批复职能，食品生产许可专家评审职能，水土保持方案评审等职能的发挥,充实完善了“容e查”系统，更好的发挥了行政审批职能。</w:t>
            </w:r>
            <w:r>
              <w:tab/>
            </w:r>
            <w:r>
              <w:tab/>
            </w:r>
            <w:r>
              <w:tab/>
            </w:r>
            <w:r>
              <w:tab/>
            </w:r>
            <w:r>
              <w:tab/>
            </w:r>
            <w:r>
              <w:tab/>
            </w:r>
            <w:r>
              <w:tab/>
            </w:r>
            <w:r>
              <w:tab/>
            </w:r>
          </w:p>
          <w:p>
            <w:pPr>
              <w:pStyle w:val="15"/>
            </w:pPr>
          </w:p>
          <w:p>
            <w:pPr>
              <w:pStyle w:val="15"/>
            </w:pPr>
            <w:r>
              <w:t>2.通过项目的开展，保证了各项业务的正常开展，提高行政审批局的社会影响力、认知度。</w:t>
            </w:r>
          </w:p>
        </w:tc>
      </w:tr>
    </w:tbl>
    <w:p>
      <w:pPr>
        <w:spacing w:line="2" w:lineRule="exact"/>
        <w:jc w:val="center"/>
      </w:pPr>
      <w:r>
        <w:rPr>
          <w:rFonts w:ascii="方正书宋_GBK" w:hAnsi="方正书宋_GBK" w:eastAsia="方正书宋_GBK" w:cs="方正书宋_GBK"/>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新增服务数量</w:t>
            </w:r>
          </w:p>
        </w:tc>
        <w:tc>
          <w:tcPr>
            <w:tcW w:w="2891" w:type="dxa"/>
            <w:vAlign w:val="center"/>
          </w:tcPr>
          <w:p>
            <w:pPr>
              <w:pStyle w:val="15"/>
            </w:pPr>
            <w:r>
              <w:t>新增服务数量/预算购买服务数量</w:t>
            </w:r>
          </w:p>
        </w:tc>
        <w:tc>
          <w:tcPr>
            <w:tcW w:w="1276" w:type="dxa"/>
            <w:vAlign w:val="center"/>
          </w:tcPr>
          <w:p>
            <w:pPr>
              <w:pStyle w:val="15"/>
            </w:pPr>
            <w:r>
              <w:t>100百分之</w:t>
            </w:r>
          </w:p>
        </w:tc>
        <w:tc>
          <w:tcPr>
            <w:tcW w:w="1843" w:type="dxa"/>
            <w:vAlign w:val="center"/>
          </w:tcPr>
          <w:p>
            <w:pPr>
              <w:pStyle w:val="15"/>
            </w:pPr>
            <w:r>
              <w:t>劳务合同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服务参与度</w:t>
            </w:r>
          </w:p>
        </w:tc>
        <w:tc>
          <w:tcPr>
            <w:tcW w:w="2891" w:type="dxa"/>
            <w:vAlign w:val="center"/>
          </w:tcPr>
          <w:p>
            <w:pPr>
              <w:pStyle w:val="15"/>
            </w:pPr>
            <w:r>
              <w:t>相关业务参与程度</w:t>
            </w:r>
          </w:p>
        </w:tc>
        <w:tc>
          <w:tcPr>
            <w:tcW w:w="1276" w:type="dxa"/>
            <w:vAlign w:val="center"/>
          </w:tcPr>
          <w:p>
            <w:pPr>
              <w:pStyle w:val="15"/>
            </w:pPr>
            <w:r>
              <w:t>≥95百分之</w:t>
            </w:r>
          </w:p>
        </w:tc>
        <w:tc>
          <w:tcPr>
            <w:tcW w:w="1843" w:type="dxa"/>
            <w:vAlign w:val="center"/>
          </w:tcPr>
          <w:p>
            <w:pPr>
              <w:pStyle w:val="15"/>
            </w:pPr>
            <w:r>
              <w:t>劳务合同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签订合同时间</w:t>
            </w:r>
          </w:p>
        </w:tc>
        <w:tc>
          <w:tcPr>
            <w:tcW w:w="2891" w:type="dxa"/>
            <w:vAlign w:val="center"/>
          </w:tcPr>
          <w:p>
            <w:pPr>
              <w:pStyle w:val="15"/>
            </w:pPr>
            <w:r>
              <w:t>签订合同时间与中标通知书约定时间一致</w:t>
            </w:r>
          </w:p>
        </w:tc>
        <w:tc>
          <w:tcPr>
            <w:tcW w:w="1276" w:type="dxa"/>
            <w:vAlign w:val="center"/>
          </w:tcPr>
          <w:p>
            <w:pPr>
              <w:pStyle w:val="15"/>
            </w:pPr>
            <w:r>
              <w:t>100百分之</w:t>
            </w:r>
          </w:p>
        </w:tc>
        <w:tc>
          <w:tcPr>
            <w:tcW w:w="1843" w:type="dxa"/>
            <w:vAlign w:val="center"/>
          </w:tcPr>
          <w:p>
            <w:pPr>
              <w:pStyle w:val="15"/>
            </w:pPr>
            <w:r>
              <w:t>劳务合同和中标通知书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服务采购成本</w:t>
            </w:r>
          </w:p>
        </w:tc>
        <w:tc>
          <w:tcPr>
            <w:tcW w:w="2891" w:type="dxa"/>
            <w:vAlign w:val="center"/>
          </w:tcPr>
          <w:p>
            <w:pPr>
              <w:pStyle w:val="15"/>
            </w:pPr>
            <w:r>
              <w:t>开展此项目的成本</w:t>
            </w:r>
          </w:p>
        </w:tc>
        <w:tc>
          <w:tcPr>
            <w:tcW w:w="1276" w:type="dxa"/>
            <w:vAlign w:val="center"/>
          </w:tcPr>
          <w:p>
            <w:pPr>
              <w:pStyle w:val="15"/>
            </w:pPr>
            <w:r>
              <w:t>≤300万元</w:t>
            </w:r>
          </w:p>
        </w:tc>
        <w:tc>
          <w:tcPr>
            <w:tcW w:w="1843" w:type="dxa"/>
            <w:vAlign w:val="center"/>
          </w:tcPr>
          <w:p>
            <w:pPr>
              <w:pStyle w:val="15"/>
            </w:pPr>
            <w:r>
              <w:t>劳务合同和年初预算数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购买服务的满意度</w:t>
            </w:r>
          </w:p>
        </w:tc>
        <w:tc>
          <w:tcPr>
            <w:tcW w:w="2891" w:type="dxa"/>
            <w:vAlign w:val="center"/>
          </w:tcPr>
          <w:p>
            <w:pPr>
              <w:pStyle w:val="15"/>
            </w:pPr>
            <w:r>
              <w:t>购买服务满意率</w:t>
            </w:r>
          </w:p>
        </w:tc>
        <w:tc>
          <w:tcPr>
            <w:tcW w:w="1276" w:type="dxa"/>
            <w:vAlign w:val="center"/>
          </w:tcPr>
          <w:p>
            <w:pPr>
              <w:pStyle w:val="15"/>
            </w:pPr>
            <w:r>
              <w:t>≥95百分之</w:t>
            </w:r>
          </w:p>
        </w:tc>
        <w:tc>
          <w:tcPr>
            <w:tcW w:w="1843" w:type="dxa"/>
            <w:vAlign w:val="center"/>
          </w:tcPr>
          <w:p>
            <w:pPr>
              <w:pStyle w:val="15"/>
            </w:pPr>
            <w:r>
              <w:t>根据实际调查、询问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社会影响力</w:t>
            </w:r>
          </w:p>
        </w:tc>
        <w:tc>
          <w:tcPr>
            <w:tcW w:w="2891" w:type="dxa"/>
            <w:vAlign w:val="center"/>
          </w:tcPr>
          <w:p>
            <w:pPr>
              <w:pStyle w:val="15"/>
            </w:pPr>
            <w:r>
              <w:t>我单位在人民群众中的影响力</w:t>
            </w:r>
          </w:p>
        </w:tc>
        <w:tc>
          <w:tcPr>
            <w:tcW w:w="1276" w:type="dxa"/>
            <w:vAlign w:val="center"/>
          </w:tcPr>
          <w:p>
            <w:pPr>
              <w:pStyle w:val="15"/>
            </w:pPr>
            <w:r>
              <w:t>得到提升</w:t>
            </w:r>
          </w:p>
        </w:tc>
        <w:tc>
          <w:tcPr>
            <w:tcW w:w="1843" w:type="dxa"/>
            <w:vAlign w:val="center"/>
          </w:tcPr>
          <w:p>
            <w:pPr>
              <w:pStyle w:val="15"/>
            </w:pPr>
            <w:r>
              <w:t>根据实际调查、询问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服务对象满意度</w:t>
            </w:r>
          </w:p>
        </w:tc>
        <w:tc>
          <w:tcPr>
            <w:tcW w:w="2891" w:type="dxa"/>
            <w:vAlign w:val="center"/>
          </w:tcPr>
          <w:p>
            <w:pPr>
              <w:pStyle w:val="15"/>
            </w:pPr>
            <w:r>
              <w:t>服务对象对第三方开展相应工作的满意程度</w:t>
            </w:r>
          </w:p>
        </w:tc>
        <w:tc>
          <w:tcPr>
            <w:tcW w:w="1276" w:type="dxa"/>
            <w:vAlign w:val="center"/>
          </w:tcPr>
          <w:p>
            <w:pPr>
              <w:pStyle w:val="15"/>
            </w:pPr>
            <w:r>
              <w:t>≥95百分之</w:t>
            </w:r>
          </w:p>
        </w:tc>
        <w:tc>
          <w:tcPr>
            <w:tcW w:w="1843" w:type="dxa"/>
            <w:vAlign w:val="center"/>
          </w:tcPr>
          <w:p>
            <w:pPr>
              <w:pStyle w:val="15"/>
            </w:pPr>
            <w:r>
              <w:t>根据实际调查、询问</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0"/>
        <w:outlineLvl w:val="3"/>
      </w:pPr>
      <w:bookmarkStart w:id="4" w:name="_Toc_4_4_0000000008"/>
      <w:r>
        <w:rPr>
          <w:rFonts w:ascii="方正仿宋_GBK" w:hAnsi="方正仿宋_GBK" w:eastAsia="方正仿宋_GBK" w:cs="方正仿宋_GBK"/>
          <w:color w:val="000000"/>
          <w:sz w:val="28"/>
        </w:rPr>
        <w:t>5.法律顾问费绩效目标表</w:t>
      </w:r>
      <w:bookmarkEnd w:id="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ind w:left="420"/>
            </w:pPr>
            <w:r>
              <w:t>209001香河县行政审批局本级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5"/>
            </w:pPr>
            <w:r>
              <w:t>13102422P000A5U10002W</w:t>
            </w:r>
          </w:p>
        </w:tc>
        <w:tc>
          <w:tcPr>
            <w:tcW w:w="1587" w:type="dxa"/>
            <w:vAlign w:val="center"/>
          </w:tcPr>
          <w:p>
            <w:pPr>
              <w:pStyle w:val="16"/>
            </w:pPr>
            <w:r>
              <w:t>项目名称</w:t>
            </w:r>
          </w:p>
        </w:tc>
        <w:tc>
          <w:tcPr>
            <w:tcW w:w="4422" w:type="dxa"/>
            <w:gridSpan w:val="3"/>
            <w:vAlign w:val="center"/>
          </w:tcPr>
          <w:p>
            <w:pPr>
              <w:pStyle w:val="15"/>
            </w:pPr>
            <w:r>
              <w:t>法律顾问费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4.00</w:t>
            </w:r>
          </w:p>
        </w:tc>
        <w:tc>
          <w:tcPr>
            <w:tcW w:w="1587" w:type="dxa"/>
            <w:vAlign w:val="center"/>
          </w:tcPr>
          <w:p>
            <w:pPr>
              <w:pStyle w:val="16"/>
            </w:pPr>
            <w:r>
              <w:t>其中：财政    资金</w:t>
            </w:r>
          </w:p>
        </w:tc>
        <w:tc>
          <w:tcPr>
            <w:tcW w:w="1304" w:type="dxa"/>
            <w:vAlign w:val="center"/>
          </w:tcPr>
          <w:p>
            <w:pPr>
              <w:pStyle w:val="15"/>
            </w:pPr>
            <w:r>
              <w:t>4.00</w:t>
            </w:r>
          </w:p>
        </w:tc>
        <w:tc>
          <w:tcPr>
            <w:tcW w:w="1276" w:type="dxa"/>
            <w:vAlign w:val="center"/>
          </w:tcPr>
          <w:p>
            <w:pPr>
              <w:pStyle w:val="16"/>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法律顾问费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 xml:space="preserve"> </w:t>
            </w:r>
          </w:p>
        </w:tc>
        <w:tc>
          <w:tcPr>
            <w:tcW w:w="1304" w:type="dxa"/>
            <w:vAlign w:val="center"/>
          </w:tcPr>
          <w:p>
            <w:pPr>
              <w:pStyle w:val="17"/>
            </w:pPr>
            <w:r>
              <w:t xml:space="preserve"> </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5"/>
            </w:pPr>
            <w:r>
              <w:t>1.通过开展此项目，依法办理相关业务，依法服务群众，更好地发挥审批及审管职能。</w:t>
            </w:r>
          </w:p>
          <w:p>
            <w:pPr>
              <w:pStyle w:val="15"/>
            </w:pPr>
            <w:r>
              <w:t>2.通过项目的开展，增强职工的法制观念，依法办理相关业务，依法服务群众，提高行政审批局的社会影响力、认知度。</w:t>
            </w:r>
          </w:p>
        </w:tc>
      </w:tr>
    </w:tbl>
    <w:p>
      <w:pPr>
        <w:spacing w:line="2" w:lineRule="exact"/>
        <w:jc w:val="center"/>
      </w:pPr>
      <w:r>
        <w:rPr>
          <w:rFonts w:ascii="方正书宋_GBK" w:hAnsi="方正书宋_GBK" w:eastAsia="方正书宋_GBK" w:cs="方正书宋_GBK"/>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服务次数</w:t>
            </w:r>
          </w:p>
        </w:tc>
        <w:tc>
          <w:tcPr>
            <w:tcW w:w="2891" w:type="dxa"/>
            <w:vAlign w:val="center"/>
          </w:tcPr>
          <w:p>
            <w:pPr>
              <w:pStyle w:val="15"/>
            </w:pPr>
            <w:r>
              <w:t>服务次数</w:t>
            </w:r>
          </w:p>
        </w:tc>
        <w:tc>
          <w:tcPr>
            <w:tcW w:w="1276" w:type="dxa"/>
            <w:vAlign w:val="center"/>
          </w:tcPr>
          <w:p>
            <w:pPr>
              <w:pStyle w:val="15"/>
            </w:pPr>
            <w:r>
              <w:t>≥5次</w:t>
            </w:r>
          </w:p>
        </w:tc>
        <w:tc>
          <w:tcPr>
            <w:tcW w:w="1843" w:type="dxa"/>
            <w:vAlign w:val="center"/>
          </w:tcPr>
          <w:p>
            <w:pPr>
              <w:pStyle w:val="15"/>
            </w:pPr>
            <w:r>
              <w:t>根据往年实际情况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服务参与度</w:t>
            </w:r>
          </w:p>
        </w:tc>
        <w:tc>
          <w:tcPr>
            <w:tcW w:w="2891" w:type="dxa"/>
            <w:vAlign w:val="center"/>
          </w:tcPr>
          <w:p>
            <w:pPr>
              <w:pStyle w:val="15"/>
            </w:pPr>
            <w:r>
              <w:t>相关业务参与程度</w:t>
            </w:r>
          </w:p>
        </w:tc>
        <w:tc>
          <w:tcPr>
            <w:tcW w:w="1276" w:type="dxa"/>
            <w:vAlign w:val="center"/>
          </w:tcPr>
          <w:p>
            <w:pPr>
              <w:pStyle w:val="15"/>
            </w:pPr>
            <w:r>
              <w:t>≥95百分之</w:t>
            </w:r>
          </w:p>
        </w:tc>
        <w:tc>
          <w:tcPr>
            <w:tcW w:w="1843" w:type="dxa"/>
            <w:vAlign w:val="center"/>
          </w:tcPr>
          <w:p>
            <w:pPr>
              <w:pStyle w:val="15"/>
            </w:pPr>
            <w:r>
              <w:t>根据往年实际情况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法律咨询开始时间</w:t>
            </w:r>
          </w:p>
        </w:tc>
        <w:tc>
          <w:tcPr>
            <w:tcW w:w="2891" w:type="dxa"/>
            <w:vAlign w:val="center"/>
          </w:tcPr>
          <w:p>
            <w:pPr>
              <w:pStyle w:val="15"/>
            </w:pPr>
            <w:r>
              <w:t>法律咨询开始时间</w:t>
            </w:r>
          </w:p>
        </w:tc>
        <w:tc>
          <w:tcPr>
            <w:tcW w:w="1276" w:type="dxa"/>
            <w:vAlign w:val="center"/>
          </w:tcPr>
          <w:p>
            <w:pPr>
              <w:pStyle w:val="15"/>
            </w:pPr>
            <w:r>
              <w:t>2022年1月</w:t>
            </w:r>
          </w:p>
        </w:tc>
        <w:tc>
          <w:tcPr>
            <w:tcW w:w="1843" w:type="dxa"/>
            <w:vAlign w:val="center"/>
          </w:tcPr>
          <w:p>
            <w:pPr>
              <w:pStyle w:val="15"/>
            </w:pPr>
            <w:r>
              <w:t>根据劳务合同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法律咨询完成时间</w:t>
            </w:r>
          </w:p>
        </w:tc>
        <w:tc>
          <w:tcPr>
            <w:tcW w:w="2891" w:type="dxa"/>
            <w:vAlign w:val="center"/>
          </w:tcPr>
          <w:p>
            <w:pPr>
              <w:pStyle w:val="15"/>
            </w:pPr>
            <w:r>
              <w:t>法律咨询完成时间</w:t>
            </w:r>
          </w:p>
        </w:tc>
        <w:tc>
          <w:tcPr>
            <w:tcW w:w="1276" w:type="dxa"/>
            <w:vAlign w:val="center"/>
          </w:tcPr>
          <w:p>
            <w:pPr>
              <w:pStyle w:val="15"/>
            </w:pPr>
            <w:r>
              <w:t>2022年12月</w:t>
            </w:r>
          </w:p>
        </w:tc>
        <w:tc>
          <w:tcPr>
            <w:tcW w:w="1843" w:type="dxa"/>
            <w:vAlign w:val="center"/>
          </w:tcPr>
          <w:p>
            <w:pPr>
              <w:pStyle w:val="15"/>
            </w:pPr>
            <w:r>
              <w:t>根据劳务合同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服务成本</w:t>
            </w:r>
          </w:p>
        </w:tc>
        <w:tc>
          <w:tcPr>
            <w:tcW w:w="2891" w:type="dxa"/>
            <w:vAlign w:val="center"/>
          </w:tcPr>
          <w:p>
            <w:pPr>
              <w:pStyle w:val="15"/>
            </w:pPr>
            <w:r>
              <w:t>开展此项服务的成本</w:t>
            </w:r>
          </w:p>
        </w:tc>
        <w:tc>
          <w:tcPr>
            <w:tcW w:w="1276" w:type="dxa"/>
            <w:vAlign w:val="center"/>
          </w:tcPr>
          <w:p>
            <w:pPr>
              <w:pStyle w:val="15"/>
            </w:pPr>
            <w:r>
              <w:t>≤4万元</w:t>
            </w:r>
          </w:p>
        </w:tc>
        <w:tc>
          <w:tcPr>
            <w:tcW w:w="1843" w:type="dxa"/>
            <w:vAlign w:val="center"/>
          </w:tcPr>
          <w:p>
            <w:pPr>
              <w:pStyle w:val="15"/>
            </w:pPr>
            <w:r>
              <w:t>根据预算申请明细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增强职工的法制观念</w:t>
            </w:r>
          </w:p>
        </w:tc>
        <w:tc>
          <w:tcPr>
            <w:tcW w:w="2891" w:type="dxa"/>
            <w:vAlign w:val="center"/>
          </w:tcPr>
          <w:p>
            <w:pPr>
              <w:pStyle w:val="15"/>
            </w:pPr>
            <w:r>
              <w:t>增强职工的法制观念</w:t>
            </w:r>
          </w:p>
        </w:tc>
        <w:tc>
          <w:tcPr>
            <w:tcW w:w="1276" w:type="dxa"/>
            <w:vAlign w:val="center"/>
          </w:tcPr>
          <w:p>
            <w:pPr>
              <w:pStyle w:val="15"/>
            </w:pPr>
            <w:r>
              <w:t>增强职工的法制观念</w:t>
            </w:r>
          </w:p>
        </w:tc>
        <w:tc>
          <w:tcPr>
            <w:tcW w:w="1843" w:type="dxa"/>
            <w:vAlign w:val="center"/>
          </w:tcPr>
          <w:p>
            <w:pPr>
              <w:pStyle w:val="15"/>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依法办理相关业务，依法服务群众</w:t>
            </w:r>
          </w:p>
        </w:tc>
        <w:tc>
          <w:tcPr>
            <w:tcW w:w="2891" w:type="dxa"/>
            <w:vAlign w:val="center"/>
          </w:tcPr>
          <w:p>
            <w:pPr>
              <w:pStyle w:val="15"/>
            </w:pPr>
            <w:r>
              <w:t>提高我单位在人民群众中的影响力</w:t>
            </w:r>
          </w:p>
        </w:tc>
        <w:tc>
          <w:tcPr>
            <w:tcW w:w="1276" w:type="dxa"/>
            <w:vAlign w:val="center"/>
          </w:tcPr>
          <w:p>
            <w:pPr>
              <w:pStyle w:val="15"/>
            </w:pPr>
            <w:r>
              <w:t>起到可持续影响</w:t>
            </w:r>
          </w:p>
        </w:tc>
        <w:tc>
          <w:tcPr>
            <w:tcW w:w="1843" w:type="dxa"/>
            <w:vAlign w:val="center"/>
          </w:tcPr>
          <w:p>
            <w:pPr>
              <w:pStyle w:val="15"/>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服务对象满意度</w:t>
            </w:r>
          </w:p>
        </w:tc>
        <w:tc>
          <w:tcPr>
            <w:tcW w:w="2891" w:type="dxa"/>
            <w:vAlign w:val="center"/>
          </w:tcPr>
          <w:p>
            <w:pPr>
              <w:pStyle w:val="15"/>
            </w:pPr>
            <w:r>
              <w:t>服务对象对第三方开展相应工作的满意程度</w:t>
            </w:r>
          </w:p>
        </w:tc>
        <w:tc>
          <w:tcPr>
            <w:tcW w:w="1276" w:type="dxa"/>
            <w:vAlign w:val="center"/>
          </w:tcPr>
          <w:p>
            <w:pPr>
              <w:pStyle w:val="15"/>
            </w:pPr>
            <w:r>
              <w:t>≥95百分之</w:t>
            </w:r>
          </w:p>
        </w:tc>
        <w:tc>
          <w:tcPr>
            <w:tcW w:w="1843" w:type="dxa"/>
            <w:vAlign w:val="center"/>
          </w:tcPr>
          <w:p>
            <w:pPr>
              <w:pStyle w:val="15"/>
            </w:pPr>
            <w:r>
              <w:t>根据实际调查、询问</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0"/>
        <w:outlineLvl w:val="3"/>
      </w:pPr>
      <w:bookmarkStart w:id="5" w:name="_Toc_4_4_0000000009"/>
      <w:r>
        <w:rPr>
          <w:rFonts w:ascii="方正仿宋_GBK" w:hAnsi="方正仿宋_GBK" w:eastAsia="方正仿宋_GBK" w:cs="方正仿宋_GBK"/>
          <w:color w:val="000000"/>
          <w:sz w:val="28"/>
        </w:rPr>
        <w:t>6.河北经济户籍管理系统绩效目标表</w:t>
      </w:r>
      <w:bookmarkEnd w:id="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ind w:left="420"/>
            </w:pPr>
            <w:r>
              <w:t>209001香河县行政审批局本级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5"/>
            </w:pPr>
            <w:r>
              <w:t>13102422P007837100323</w:t>
            </w:r>
          </w:p>
        </w:tc>
        <w:tc>
          <w:tcPr>
            <w:tcW w:w="1587" w:type="dxa"/>
            <w:vAlign w:val="center"/>
          </w:tcPr>
          <w:p>
            <w:pPr>
              <w:pStyle w:val="16"/>
            </w:pPr>
            <w:r>
              <w:t>项目名称</w:t>
            </w:r>
          </w:p>
        </w:tc>
        <w:tc>
          <w:tcPr>
            <w:tcW w:w="4422" w:type="dxa"/>
            <w:gridSpan w:val="3"/>
            <w:vAlign w:val="center"/>
          </w:tcPr>
          <w:p>
            <w:pPr>
              <w:pStyle w:val="15"/>
            </w:pPr>
            <w:r>
              <w:t>河北经济户籍管理系统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8.00</w:t>
            </w:r>
          </w:p>
        </w:tc>
        <w:tc>
          <w:tcPr>
            <w:tcW w:w="1587" w:type="dxa"/>
            <w:vAlign w:val="center"/>
          </w:tcPr>
          <w:p>
            <w:pPr>
              <w:pStyle w:val="16"/>
            </w:pPr>
            <w:r>
              <w:t>其中：财政    资金</w:t>
            </w:r>
          </w:p>
        </w:tc>
        <w:tc>
          <w:tcPr>
            <w:tcW w:w="1304" w:type="dxa"/>
            <w:vAlign w:val="center"/>
          </w:tcPr>
          <w:p>
            <w:pPr>
              <w:pStyle w:val="15"/>
            </w:pPr>
            <w:r>
              <w:t>8.00</w:t>
            </w:r>
          </w:p>
        </w:tc>
        <w:tc>
          <w:tcPr>
            <w:tcW w:w="1276" w:type="dxa"/>
            <w:vAlign w:val="center"/>
          </w:tcPr>
          <w:p>
            <w:pPr>
              <w:pStyle w:val="16"/>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河北经济户籍管理系统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 xml:space="preserve"> </w:t>
            </w:r>
          </w:p>
        </w:tc>
        <w:tc>
          <w:tcPr>
            <w:tcW w:w="1304" w:type="dxa"/>
            <w:vAlign w:val="center"/>
          </w:tcPr>
          <w:p>
            <w:pPr>
              <w:pStyle w:val="17"/>
            </w:pPr>
            <w:r>
              <w:t xml:space="preserve"> </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5"/>
            </w:pPr>
            <w:r>
              <w:t>1.通过项目开展，方便了基层群众办事，使得基层群众少跑路，节约了办事群众的办事成本，提升行政审批现场办结率，为提升行政办事效能提供良好履职基础。</w:t>
            </w:r>
          </w:p>
        </w:tc>
      </w:tr>
    </w:tbl>
    <w:p>
      <w:pPr>
        <w:spacing w:line="2" w:lineRule="exact"/>
        <w:jc w:val="center"/>
      </w:pPr>
      <w:r>
        <w:rPr>
          <w:rFonts w:ascii="方正书宋_GBK" w:hAnsi="方正书宋_GBK" w:eastAsia="方正书宋_GBK" w:cs="方正书宋_GBK"/>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服务时间</w:t>
            </w:r>
          </w:p>
        </w:tc>
        <w:tc>
          <w:tcPr>
            <w:tcW w:w="2891" w:type="dxa"/>
            <w:vAlign w:val="center"/>
          </w:tcPr>
          <w:p>
            <w:pPr>
              <w:pStyle w:val="15"/>
            </w:pPr>
            <w:r>
              <w:t>服务时间</w:t>
            </w:r>
          </w:p>
        </w:tc>
        <w:tc>
          <w:tcPr>
            <w:tcW w:w="1276" w:type="dxa"/>
            <w:vAlign w:val="center"/>
          </w:tcPr>
          <w:p>
            <w:pPr>
              <w:pStyle w:val="15"/>
            </w:pPr>
            <w:r>
              <w:t>12月</w:t>
            </w:r>
          </w:p>
        </w:tc>
        <w:tc>
          <w:tcPr>
            <w:tcW w:w="1843" w:type="dxa"/>
            <w:vAlign w:val="center"/>
          </w:tcPr>
          <w:p>
            <w:pPr>
              <w:pStyle w:val="15"/>
            </w:pPr>
            <w:r>
              <w:t>根据服务合同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稳定性</w:t>
            </w:r>
          </w:p>
        </w:tc>
        <w:tc>
          <w:tcPr>
            <w:tcW w:w="2891" w:type="dxa"/>
            <w:vAlign w:val="center"/>
          </w:tcPr>
          <w:p>
            <w:pPr>
              <w:pStyle w:val="15"/>
            </w:pPr>
            <w:r>
              <w:t>稳定性</w:t>
            </w:r>
          </w:p>
        </w:tc>
        <w:tc>
          <w:tcPr>
            <w:tcW w:w="1276" w:type="dxa"/>
            <w:vAlign w:val="center"/>
          </w:tcPr>
          <w:p>
            <w:pPr>
              <w:pStyle w:val="15"/>
            </w:pPr>
            <w:r>
              <w:t>≥95百分之</w:t>
            </w:r>
          </w:p>
        </w:tc>
        <w:tc>
          <w:tcPr>
            <w:tcW w:w="1843" w:type="dxa"/>
            <w:vAlign w:val="center"/>
          </w:tcPr>
          <w:p>
            <w:pPr>
              <w:pStyle w:val="15"/>
            </w:pPr>
            <w: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运维开始时间</w:t>
            </w:r>
          </w:p>
        </w:tc>
        <w:tc>
          <w:tcPr>
            <w:tcW w:w="2891" w:type="dxa"/>
            <w:vAlign w:val="center"/>
          </w:tcPr>
          <w:p>
            <w:pPr>
              <w:pStyle w:val="15"/>
            </w:pPr>
            <w:r>
              <w:t>运维开始时间</w:t>
            </w:r>
          </w:p>
        </w:tc>
        <w:tc>
          <w:tcPr>
            <w:tcW w:w="1276" w:type="dxa"/>
            <w:vAlign w:val="center"/>
          </w:tcPr>
          <w:p>
            <w:pPr>
              <w:pStyle w:val="15"/>
            </w:pPr>
            <w:r>
              <w:t>2022年1月</w:t>
            </w:r>
          </w:p>
        </w:tc>
        <w:tc>
          <w:tcPr>
            <w:tcW w:w="1843" w:type="dxa"/>
            <w:vAlign w:val="center"/>
          </w:tcPr>
          <w:p>
            <w:pPr>
              <w:pStyle w:val="15"/>
            </w:pPr>
            <w:r>
              <w:t>根据服务合同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运维结束时间</w:t>
            </w:r>
          </w:p>
        </w:tc>
        <w:tc>
          <w:tcPr>
            <w:tcW w:w="2891" w:type="dxa"/>
            <w:vAlign w:val="center"/>
          </w:tcPr>
          <w:p>
            <w:pPr>
              <w:pStyle w:val="15"/>
            </w:pPr>
            <w:r>
              <w:t>运维结束时间</w:t>
            </w:r>
          </w:p>
        </w:tc>
        <w:tc>
          <w:tcPr>
            <w:tcW w:w="1276" w:type="dxa"/>
            <w:vAlign w:val="center"/>
          </w:tcPr>
          <w:p>
            <w:pPr>
              <w:pStyle w:val="15"/>
            </w:pPr>
            <w:r>
              <w:t>2022年12月</w:t>
            </w:r>
          </w:p>
        </w:tc>
        <w:tc>
          <w:tcPr>
            <w:tcW w:w="1843" w:type="dxa"/>
            <w:vAlign w:val="center"/>
          </w:tcPr>
          <w:p>
            <w:pPr>
              <w:pStyle w:val="15"/>
            </w:pPr>
            <w:r>
              <w:t>根据服务合同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项目预算控制数</w:t>
            </w:r>
          </w:p>
        </w:tc>
        <w:tc>
          <w:tcPr>
            <w:tcW w:w="2891" w:type="dxa"/>
            <w:vAlign w:val="center"/>
          </w:tcPr>
          <w:p>
            <w:pPr>
              <w:pStyle w:val="15"/>
            </w:pPr>
            <w:r>
              <w:t>开展此项目的成本</w:t>
            </w:r>
          </w:p>
        </w:tc>
        <w:tc>
          <w:tcPr>
            <w:tcW w:w="1276" w:type="dxa"/>
            <w:vAlign w:val="center"/>
          </w:tcPr>
          <w:p>
            <w:pPr>
              <w:pStyle w:val="15"/>
            </w:pPr>
            <w:r>
              <w:t>≤8万元</w:t>
            </w:r>
          </w:p>
        </w:tc>
        <w:tc>
          <w:tcPr>
            <w:tcW w:w="1843" w:type="dxa"/>
            <w:vAlign w:val="center"/>
          </w:tcPr>
          <w:p>
            <w:pPr>
              <w:pStyle w:val="15"/>
            </w:pPr>
            <w:r>
              <w:t>根据预算申请明细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保证业务开展，更好服务群众</w:t>
            </w:r>
          </w:p>
        </w:tc>
        <w:tc>
          <w:tcPr>
            <w:tcW w:w="2891" w:type="dxa"/>
            <w:vAlign w:val="center"/>
          </w:tcPr>
          <w:p>
            <w:pPr>
              <w:pStyle w:val="15"/>
            </w:pPr>
            <w:r>
              <w:t>保证业务开展，更好服务群众</w:t>
            </w:r>
          </w:p>
        </w:tc>
        <w:tc>
          <w:tcPr>
            <w:tcW w:w="1276" w:type="dxa"/>
            <w:vAlign w:val="center"/>
          </w:tcPr>
          <w:p>
            <w:pPr>
              <w:pStyle w:val="15"/>
            </w:pPr>
            <w:r>
              <w:t>群众满意</w:t>
            </w:r>
          </w:p>
        </w:tc>
        <w:tc>
          <w:tcPr>
            <w:tcW w:w="1843" w:type="dxa"/>
            <w:vAlign w:val="center"/>
          </w:tcPr>
          <w:p>
            <w:pPr>
              <w:pStyle w:val="15"/>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更好的发挥审批职能</w:t>
            </w:r>
          </w:p>
        </w:tc>
        <w:tc>
          <w:tcPr>
            <w:tcW w:w="2891" w:type="dxa"/>
            <w:vAlign w:val="center"/>
          </w:tcPr>
          <w:p>
            <w:pPr>
              <w:pStyle w:val="15"/>
            </w:pPr>
            <w:r>
              <w:t>更好的发挥审批职能</w:t>
            </w:r>
          </w:p>
        </w:tc>
        <w:tc>
          <w:tcPr>
            <w:tcW w:w="1276" w:type="dxa"/>
            <w:vAlign w:val="center"/>
          </w:tcPr>
          <w:p>
            <w:pPr>
              <w:pStyle w:val="15"/>
            </w:pPr>
            <w:r>
              <w:t>起到可持续影响</w:t>
            </w:r>
          </w:p>
        </w:tc>
        <w:tc>
          <w:tcPr>
            <w:tcW w:w="1843" w:type="dxa"/>
            <w:vAlign w:val="center"/>
          </w:tcPr>
          <w:p>
            <w:pPr>
              <w:pStyle w:val="15"/>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服务对象满意度</w:t>
            </w:r>
          </w:p>
        </w:tc>
        <w:tc>
          <w:tcPr>
            <w:tcW w:w="2891" w:type="dxa"/>
            <w:vAlign w:val="center"/>
          </w:tcPr>
          <w:p>
            <w:pPr>
              <w:pStyle w:val="15"/>
            </w:pPr>
            <w:r>
              <w:t>服务对象对第三方开展相应工作的满意程度</w:t>
            </w:r>
          </w:p>
        </w:tc>
        <w:tc>
          <w:tcPr>
            <w:tcW w:w="1276" w:type="dxa"/>
            <w:vAlign w:val="center"/>
          </w:tcPr>
          <w:p>
            <w:pPr>
              <w:pStyle w:val="15"/>
            </w:pPr>
            <w:r>
              <w:t>≥95百分之</w:t>
            </w:r>
          </w:p>
        </w:tc>
        <w:tc>
          <w:tcPr>
            <w:tcW w:w="1843" w:type="dxa"/>
            <w:vAlign w:val="center"/>
          </w:tcPr>
          <w:p>
            <w:pPr>
              <w:pStyle w:val="15"/>
            </w:pPr>
            <w:r>
              <w:t>根据实际调查、询问</w:t>
            </w:r>
          </w:p>
        </w:tc>
      </w:tr>
    </w:tbl>
    <w:p>
      <w:pPr>
        <w:spacing w:line="300" w:lineRule="exact"/>
        <w:jc w:val="left"/>
        <w:rPr>
          <w:rFonts w:hint="eastAsia"/>
        </w:rPr>
      </w:pPr>
    </w:p>
    <w:p>
      <w:pPr>
        <w:spacing w:line="300" w:lineRule="exact"/>
        <w:jc w:val="left"/>
        <w:rPr>
          <w:rFonts w:hint="eastAsia"/>
        </w:rPr>
      </w:pPr>
    </w:p>
    <w:p>
      <w:pPr>
        <w:spacing w:line="300" w:lineRule="exact"/>
        <w:jc w:val="left"/>
        <w:rPr>
          <w:rFonts w:hint="eastAsia"/>
        </w:rPr>
      </w:pPr>
    </w:p>
    <w:p>
      <w:pPr>
        <w:spacing w:line="300" w:lineRule="exact"/>
        <w:jc w:val="left"/>
        <w:rPr>
          <w:rFonts w:hint="eastAsia"/>
        </w:rPr>
      </w:pPr>
    </w:p>
    <w:p>
      <w:pPr>
        <w:spacing w:line="300" w:lineRule="exact"/>
        <w:jc w:val="left"/>
        <w:rPr>
          <w:rFonts w:hint="eastAsia"/>
        </w:rPr>
      </w:pPr>
    </w:p>
    <w:p>
      <w:pPr>
        <w:spacing w:line="300" w:lineRule="exact"/>
        <w:jc w:val="left"/>
        <w:rPr>
          <w:rFonts w:hint="eastAsia"/>
        </w:rPr>
      </w:pPr>
    </w:p>
    <w:p>
      <w:pPr>
        <w:spacing w:line="300" w:lineRule="exact"/>
        <w:jc w:val="left"/>
        <w:rPr>
          <w:rFonts w:hint="eastAsia"/>
        </w:rPr>
      </w:pPr>
    </w:p>
    <w:p>
      <w:pPr>
        <w:spacing w:line="300" w:lineRule="exact"/>
        <w:jc w:val="left"/>
        <w:rPr>
          <w:rFonts w:hint="eastAsia"/>
        </w:rPr>
      </w:pPr>
    </w:p>
    <w:p>
      <w:pPr>
        <w:spacing w:line="300" w:lineRule="exact"/>
        <w:jc w:val="left"/>
        <w:rPr>
          <w:rFonts w:hint="eastAsia"/>
        </w:rPr>
      </w:pPr>
    </w:p>
    <w:p>
      <w:pPr>
        <w:spacing w:line="300" w:lineRule="exact"/>
        <w:jc w:val="left"/>
        <w:rPr>
          <w:rFonts w:hint="eastAsia"/>
        </w:rPr>
      </w:pPr>
    </w:p>
    <w:p>
      <w:pPr>
        <w:spacing w:line="300" w:lineRule="exact"/>
        <w:jc w:val="left"/>
        <w:rPr>
          <w:rFonts w:hint="eastAsia"/>
        </w:rPr>
      </w:pPr>
    </w:p>
    <w:p>
      <w:pPr>
        <w:spacing w:line="300" w:lineRule="exact"/>
        <w:jc w:val="left"/>
      </w:pPr>
    </w:p>
    <w:p>
      <w:pPr>
        <w:ind w:firstLine="560"/>
        <w:outlineLvl w:val="3"/>
      </w:pPr>
      <w:bookmarkStart w:id="6" w:name="_Toc_4_4_0000000010"/>
      <w:r>
        <w:rPr>
          <w:rFonts w:ascii="方正仿宋_GBK" w:hAnsi="方正仿宋_GBK" w:eastAsia="方正仿宋_GBK" w:cs="方正仿宋_GBK"/>
          <w:color w:val="000000"/>
          <w:sz w:val="28"/>
        </w:rPr>
        <w:t>7.互联网、光纤使用等费用绩效目标表</w:t>
      </w:r>
      <w:bookmarkEnd w:id="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ind w:left="420"/>
            </w:pPr>
            <w:r>
              <w:t>209001香河县行政审批局本级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5"/>
            </w:pPr>
            <w:r>
              <w:t>13102422P00E0B610002P</w:t>
            </w:r>
          </w:p>
        </w:tc>
        <w:tc>
          <w:tcPr>
            <w:tcW w:w="1587" w:type="dxa"/>
            <w:vAlign w:val="center"/>
          </w:tcPr>
          <w:p>
            <w:pPr>
              <w:pStyle w:val="16"/>
            </w:pPr>
            <w:r>
              <w:t>项目名称</w:t>
            </w:r>
          </w:p>
        </w:tc>
        <w:tc>
          <w:tcPr>
            <w:tcW w:w="4422" w:type="dxa"/>
            <w:gridSpan w:val="3"/>
            <w:vAlign w:val="center"/>
          </w:tcPr>
          <w:p>
            <w:pPr>
              <w:pStyle w:val="15"/>
            </w:pPr>
            <w:r>
              <w:t>互联网、光纤使用等费用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24.00</w:t>
            </w:r>
          </w:p>
        </w:tc>
        <w:tc>
          <w:tcPr>
            <w:tcW w:w="1587" w:type="dxa"/>
            <w:vAlign w:val="center"/>
          </w:tcPr>
          <w:p>
            <w:pPr>
              <w:pStyle w:val="16"/>
            </w:pPr>
            <w:r>
              <w:t>其中：财政    资金</w:t>
            </w:r>
          </w:p>
        </w:tc>
        <w:tc>
          <w:tcPr>
            <w:tcW w:w="1304" w:type="dxa"/>
            <w:vAlign w:val="center"/>
          </w:tcPr>
          <w:p>
            <w:pPr>
              <w:pStyle w:val="15"/>
            </w:pPr>
            <w:r>
              <w:t>24.00</w:t>
            </w:r>
          </w:p>
        </w:tc>
        <w:tc>
          <w:tcPr>
            <w:tcW w:w="1276" w:type="dxa"/>
            <w:vAlign w:val="center"/>
          </w:tcPr>
          <w:p>
            <w:pPr>
              <w:pStyle w:val="16"/>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互联网、光纤使用等费用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 xml:space="preserve"> </w:t>
            </w:r>
          </w:p>
        </w:tc>
        <w:tc>
          <w:tcPr>
            <w:tcW w:w="1304" w:type="dxa"/>
            <w:vAlign w:val="center"/>
          </w:tcPr>
          <w:p>
            <w:pPr>
              <w:pStyle w:val="17"/>
            </w:pPr>
            <w:r>
              <w:t xml:space="preserve"> </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5"/>
            </w:pPr>
            <w:r>
              <w:t>1.通过项目的开展，保障我单位的网络安全稳定运行和信息资源的安全，从而保证我单位各项工作正常有序的开展，各类信息资源不外泄。</w:t>
            </w:r>
          </w:p>
        </w:tc>
      </w:tr>
    </w:tbl>
    <w:p>
      <w:pPr>
        <w:spacing w:line="2" w:lineRule="exact"/>
        <w:jc w:val="center"/>
      </w:pPr>
      <w:r>
        <w:rPr>
          <w:rFonts w:ascii="方正书宋_GBK" w:hAnsi="方正书宋_GBK" w:eastAsia="方正书宋_GBK" w:cs="方正书宋_GBK"/>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服务时间</w:t>
            </w:r>
          </w:p>
        </w:tc>
        <w:tc>
          <w:tcPr>
            <w:tcW w:w="2891" w:type="dxa"/>
            <w:vAlign w:val="center"/>
          </w:tcPr>
          <w:p>
            <w:pPr>
              <w:pStyle w:val="15"/>
            </w:pPr>
            <w:r>
              <w:t>服务时间</w:t>
            </w:r>
          </w:p>
        </w:tc>
        <w:tc>
          <w:tcPr>
            <w:tcW w:w="1276" w:type="dxa"/>
            <w:vAlign w:val="center"/>
          </w:tcPr>
          <w:p>
            <w:pPr>
              <w:pStyle w:val="15"/>
            </w:pPr>
            <w:r>
              <w:t>12月</w:t>
            </w:r>
          </w:p>
        </w:tc>
        <w:tc>
          <w:tcPr>
            <w:tcW w:w="1843" w:type="dxa"/>
            <w:vAlign w:val="center"/>
          </w:tcPr>
          <w:p>
            <w:pPr>
              <w:pStyle w:val="15"/>
            </w:pPr>
            <w:r>
              <w:t>根据合作协议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安全稳定性</w:t>
            </w:r>
          </w:p>
        </w:tc>
        <w:tc>
          <w:tcPr>
            <w:tcW w:w="2891" w:type="dxa"/>
            <w:vAlign w:val="center"/>
          </w:tcPr>
          <w:p>
            <w:pPr>
              <w:pStyle w:val="15"/>
            </w:pPr>
            <w:r>
              <w:t>安全稳定性</w:t>
            </w:r>
          </w:p>
        </w:tc>
        <w:tc>
          <w:tcPr>
            <w:tcW w:w="1276" w:type="dxa"/>
            <w:vAlign w:val="center"/>
          </w:tcPr>
          <w:p>
            <w:pPr>
              <w:pStyle w:val="15"/>
            </w:pPr>
            <w:r>
              <w:t>≥95百分之</w:t>
            </w:r>
          </w:p>
        </w:tc>
        <w:tc>
          <w:tcPr>
            <w:tcW w:w="1843" w:type="dxa"/>
            <w:vAlign w:val="center"/>
          </w:tcPr>
          <w:p>
            <w:pPr>
              <w:pStyle w:val="15"/>
            </w:pPr>
            <w: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互联网及光纤使用开始时间</w:t>
            </w:r>
          </w:p>
        </w:tc>
        <w:tc>
          <w:tcPr>
            <w:tcW w:w="2891" w:type="dxa"/>
            <w:vAlign w:val="center"/>
          </w:tcPr>
          <w:p>
            <w:pPr>
              <w:pStyle w:val="15"/>
            </w:pPr>
            <w:r>
              <w:t>互联网及光纤使用开始时间</w:t>
            </w:r>
          </w:p>
        </w:tc>
        <w:tc>
          <w:tcPr>
            <w:tcW w:w="1276" w:type="dxa"/>
            <w:vAlign w:val="center"/>
          </w:tcPr>
          <w:p>
            <w:pPr>
              <w:pStyle w:val="15"/>
            </w:pPr>
            <w:r>
              <w:t>2022年1月</w:t>
            </w:r>
          </w:p>
        </w:tc>
        <w:tc>
          <w:tcPr>
            <w:tcW w:w="1843" w:type="dxa"/>
            <w:vAlign w:val="center"/>
          </w:tcPr>
          <w:p>
            <w:pPr>
              <w:pStyle w:val="15"/>
            </w:pPr>
            <w:r>
              <w:t>根据合作协议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互联网及光纤使用结束时间</w:t>
            </w:r>
          </w:p>
        </w:tc>
        <w:tc>
          <w:tcPr>
            <w:tcW w:w="2891" w:type="dxa"/>
            <w:vAlign w:val="center"/>
          </w:tcPr>
          <w:p>
            <w:pPr>
              <w:pStyle w:val="15"/>
            </w:pPr>
            <w:r>
              <w:t>互联网及光纤使用结束时间</w:t>
            </w:r>
          </w:p>
        </w:tc>
        <w:tc>
          <w:tcPr>
            <w:tcW w:w="1276" w:type="dxa"/>
            <w:vAlign w:val="center"/>
          </w:tcPr>
          <w:p>
            <w:pPr>
              <w:pStyle w:val="15"/>
            </w:pPr>
            <w:r>
              <w:t>2022年12月</w:t>
            </w:r>
          </w:p>
        </w:tc>
        <w:tc>
          <w:tcPr>
            <w:tcW w:w="1843" w:type="dxa"/>
            <w:vAlign w:val="center"/>
          </w:tcPr>
          <w:p>
            <w:pPr>
              <w:pStyle w:val="15"/>
            </w:pPr>
            <w:r>
              <w:t>根据合作协议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服务采购协议</w:t>
            </w:r>
          </w:p>
        </w:tc>
        <w:tc>
          <w:tcPr>
            <w:tcW w:w="2891" w:type="dxa"/>
            <w:vAlign w:val="center"/>
          </w:tcPr>
          <w:p>
            <w:pPr>
              <w:pStyle w:val="15"/>
            </w:pPr>
            <w:r>
              <w:t>开展此项目的成本</w:t>
            </w:r>
          </w:p>
        </w:tc>
        <w:tc>
          <w:tcPr>
            <w:tcW w:w="1276" w:type="dxa"/>
            <w:vAlign w:val="center"/>
          </w:tcPr>
          <w:p>
            <w:pPr>
              <w:pStyle w:val="15"/>
            </w:pPr>
            <w:r>
              <w:t>≤24万元</w:t>
            </w:r>
          </w:p>
        </w:tc>
        <w:tc>
          <w:tcPr>
            <w:tcW w:w="1843" w:type="dxa"/>
            <w:vAlign w:val="center"/>
          </w:tcPr>
          <w:p>
            <w:pPr>
              <w:pStyle w:val="15"/>
            </w:pPr>
            <w:r>
              <w:t>根据预算申请明细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保障我单位的网络安全稳定运行和信息资源的安全</w:t>
            </w:r>
          </w:p>
        </w:tc>
        <w:tc>
          <w:tcPr>
            <w:tcW w:w="2891" w:type="dxa"/>
            <w:vAlign w:val="center"/>
          </w:tcPr>
          <w:p>
            <w:pPr>
              <w:pStyle w:val="15"/>
            </w:pPr>
            <w:r>
              <w:t>保障我单位的网络安全稳定运行和信息资源的安全</w:t>
            </w:r>
          </w:p>
        </w:tc>
        <w:tc>
          <w:tcPr>
            <w:tcW w:w="1276" w:type="dxa"/>
            <w:vAlign w:val="center"/>
          </w:tcPr>
          <w:p>
            <w:pPr>
              <w:pStyle w:val="15"/>
            </w:pPr>
            <w:r>
              <w:t>保障信息资源的安全</w:t>
            </w:r>
          </w:p>
        </w:tc>
        <w:tc>
          <w:tcPr>
            <w:tcW w:w="1843" w:type="dxa"/>
            <w:vAlign w:val="center"/>
          </w:tcPr>
          <w:p>
            <w:pPr>
              <w:pStyle w:val="15"/>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通过互联网及光纤的使用</w:t>
            </w:r>
          </w:p>
        </w:tc>
        <w:tc>
          <w:tcPr>
            <w:tcW w:w="2891" w:type="dxa"/>
            <w:vAlign w:val="center"/>
          </w:tcPr>
          <w:p>
            <w:pPr>
              <w:pStyle w:val="15"/>
            </w:pPr>
            <w:r>
              <w:t>保证我单位各项工作正常有序的开展，各类信息资源不外泄</w:t>
            </w:r>
          </w:p>
        </w:tc>
        <w:tc>
          <w:tcPr>
            <w:tcW w:w="1276" w:type="dxa"/>
            <w:vAlign w:val="center"/>
          </w:tcPr>
          <w:p>
            <w:pPr>
              <w:pStyle w:val="15"/>
            </w:pPr>
            <w:r>
              <w:t>起到可持续影响</w:t>
            </w:r>
          </w:p>
        </w:tc>
        <w:tc>
          <w:tcPr>
            <w:tcW w:w="1843" w:type="dxa"/>
            <w:vAlign w:val="center"/>
          </w:tcPr>
          <w:p>
            <w:pPr>
              <w:pStyle w:val="15"/>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服务对象满意度</w:t>
            </w:r>
          </w:p>
        </w:tc>
        <w:tc>
          <w:tcPr>
            <w:tcW w:w="2891" w:type="dxa"/>
            <w:vAlign w:val="center"/>
          </w:tcPr>
          <w:p>
            <w:pPr>
              <w:pStyle w:val="15"/>
            </w:pPr>
            <w:r>
              <w:t>服务对象对第三方开展相应工作的满意程度</w:t>
            </w:r>
          </w:p>
        </w:tc>
        <w:tc>
          <w:tcPr>
            <w:tcW w:w="1276" w:type="dxa"/>
            <w:vAlign w:val="center"/>
          </w:tcPr>
          <w:p>
            <w:pPr>
              <w:pStyle w:val="15"/>
            </w:pPr>
            <w:r>
              <w:t>≥95百分之</w:t>
            </w:r>
          </w:p>
        </w:tc>
        <w:tc>
          <w:tcPr>
            <w:tcW w:w="1843" w:type="dxa"/>
            <w:vAlign w:val="center"/>
          </w:tcPr>
          <w:p>
            <w:pPr>
              <w:pStyle w:val="15"/>
            </w:pPr>
            <w:r>
              <w:t>根据实际调查、询问</w:t>
            </w:r>
          </w:p>
        </w:tc>
      </w:tr>
    </w:tbl>
    <w:p>
      <w:pPr>
        <w:spacing w:line="300" w:lineRule="exact"/>
        <w:jc w:val="left"/>
        <w:rPr>
          <w:rFonts w:hint="eastAsia"/>
        </w:rPr>
      </w:pPr>
    </w:p>
    <w:p>
      <w:pPr>
        <w:spacing w:line="300" w:lineRule="exact"/>
        <w:jc w:val="left"/>
        <w:rPr>
          <w:rFonts w:hint="eastAsia"/>
        </w:rPr>
      </w:pPr>
    </w:p>
    <w:p>
      <w:pPr>
        <w:spacing w:line="300" w:lineRule="exact"/>
        <w:jc w:val="left"/>
        <w:rPr>
          <w:rFonts w:hint="eastAsia"/>
        </w:rPr>
      </w:pPr>
    </w:p>
    <w:p>
      <w:pPr>
        <w:spacing w:line="300" w:lineRule="exact"/>
        <w:jc w:val="left"/>
        <w:rPr>
          <w:rFonts w:hint="eastAsia"/>
        </w:rPr>
      </w:pPr>
    </w:p>
    <w:p>
      <w:pPr>
        <w:spacing w:line="300" w:lineRule="exact"/>
        <w:jc w:val="left"/>
        <w:rPr>
          <w:rFonts w:hint="eastAsia"/>
        </w:rPr>
      </w:pPr>
    </w:p>
    <w:p>
      <w:pPr>
        <w:spacing w:line="300" w:lineRule="exact"/>
        <w:jc w:val="left"/>
        <w:rPr>
          <w:rFonts w:hint="eastAsia"/>
        </w:rPr>
      </w:pPr>
    </w:p>
    <w:p>
      <w:pPr>
        <w:spacing w:line="300" w:lineRule="exact"/>
        <w:jc w:val="left"/>
        <w:rPr>
          <w:rFonts w:hint="eastAsia"/>
        </w:rPr>
      </w:pPr>
    </w:p>
    <w:p>
      <w:pPr>
        <w:spacing w:line="300" w:lineRule="exact"/>
        <w:jc w:val="left"/>
        <w:rPr>
          <w:rFonts w:hint="eastAsia"/>
        </w:rPr>
      </w:pPr>
    </w:p>
    <w:p>
      <w:pPr>
        <w:spacing w:line="300" w:lineRule="exact"/>
        <w:jc w:val="left"/>
      </w:pPr>
    </w:p>
    <w:p>
      <w:pPr>
        <w:ind w:firstLine="560"/>
        <w:outlineLvl w:val="3"/>
      </w:pPr>
      <w:bookmarkStart w:id="7" w:name="_Toc_4_4_0000000011"/>
      <w:r>
        <w:rPr>
          <w:rFonts w:ascii="方正仿宋_GBK" w:hAnsi="方正仿宋_GBK" w:eastAsia="方正仿宋_GBK" w:cs="方正仿宋_GBK"/>
          <w:color w:val="000000"/>
          <w:sz w:val="28"/>
        </w:rPr>
        <w:t>8.冀财预（2021）74号在职人员工资绩效目标表</w:t>
      </w:r>
      <w:bookmarkEnd w:id="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ind w:left="420"/>
            </w:pPr>
            <w:r>
              <w:t>209001香河县行政审批局本级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5"/>
            </w:pPr>
            <w:r>
              <w:t>13102422P007962100666</w:t>
            </w:r>
          </w:p>
        </w:tc>
        <w:tc>
          <w:tcPr>
            <w:tcW w:w="1587" w:type="dxa"/>
            <w:vAlign w:val="center"/>
          </w:tcPr>
          <w:p>
            <w:pPr>
              <w:pStyle w:val="16"/>
            </w:pPr>
            <w:r>
              <w:t>项目名称</w:t>
            </w:r>
          </w:p>
        </w:tc>
        <w:tc>
          <w:tcPr>
            <w:tcW w:w="4422" w:type="dxa"/>
            <w:gridSpan w:val="3"/>
            <w:vAlign w:val="center"/>
          </w:tcPr>
          <w:p>
            <w:pPr>
              <w:pStyle w:val="15"/>
            </w:pPr>
            <w:r>
              <w:t>冀财预（2021）74号在职人员工资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34.21</w:t>
            </w:r>
          </w:p>
        </w:tc>
        <w:tc>
          <w:tcPr>
            <w:tcW w:w="1587" w:type="dxa"/>
            <w:vAlign w:val="center"/>
          </w:tcPr>
          <w:p>
            <w:pPr>
              <w:pStyle w:val="16"/>
            </w:pPr>
            <w:r>
              <w:t>其中：财政    资金</w:t>
            </w:r>
          </w:p>
        </w:tc>
        <w:tc>
          <w:tcPr>
            <w:tcW w:w="1304" w:type="dxa"/>
            <w:vAlign w:val="center"/>
          </w:tcPr>
          <w:p>
            <w:pPr>
              <w:pStyle w:val="15"/>
            </w:pPr>
            <w:r>
              <w:t>34.21</w:t>
            </w:r>
          </w:p>
        </w:tc>
        <w:tc>
          <w:tcPr>
            <w:tcW w:w="1276" w:type="dxa"/>
            <w:vAlign w:val="center"/>
          </w:tcPr>
          <w:p>
            <w:pPr>
              <w:pStyle w:val="16"/>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在职人员工资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100%</w:t>
            </w:r>
          </w:p>
        </w:tc>
        <w:tc>
          <w:tcPr>
            <w:tcW w:w="1587" w:type="dxa"/>
            <w:vAlign w:val="center"/>
          </w:tcPr>
          <w:p>
            <w:pPr>
              <w:pStyle w:val="17"/>
            </w:pPr>
            <w:r>
              <w:t>100%</w:t>
            </w:r>
          </w:p>
        </w:tc>
        <w:tc>
          <w:tcPr>
            <w:tcW w:w="1304" w:type="dxa"/>
            <w:vAlign w:val="center"/>
          </w:tcPr>
          <w:p>
            <w:pPr>
              <w:pStyle w:val="17"/>
            </w:pPr>
            <w:r>
              <w:t>100%</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5"/>
            </w:pPr>
            <w:r>
              <w:t>1.目标内容1</w:t>
            </w:r>
          </w:p>
        </w:tc>
      </w:tr>
    </w:tbl>
    <w:p>
      <w:pPr>
        <w:spacing w:line="2" w:lineRule="exact"/>
        <w:jc w:val="center"/>
      </w:pPr>
      <w:r>
        <w:rPr>
          <w:rFonts w:ascii="方正书宋_GBK" w:hAnsi="方正书宋_GBK" w:eastAsia="方正书宋_GBK" w:cs="方正书宋_GBK"/>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拨款额度</w:t>
            </w:r>
          </w:p>
        </w:tc>
        <w:tc>
          <w:tcPr>
            <w:tcW w:w="2891" w:type="dxa"/>
            <w:vAlign w:val="center"/>
          </w:tcPr>
          <w:p>
            <w:pPr>
              <w:pStyle w:val="15"/>
            </w:pPr>
            <w:r>
              <w:t>拨款额度</w:t>
            </w:r>
          </w:p>
        </w:tc>
        <w:tc>
          <w:tcPr>
            <w:tcW w:w="1276" w:type="dxa"/>
            <w:vAlign w:val="center"/>
          </w:tcPr>
          <w:p>
            <w:pPr>
              <w:pStyle w:val="15"/>
            </w:pPr>
            <w:r>
              <w:t>34.21万元/月</w:t>
            </w:r>
          </w:p>
        </w:tc>
        <w:tc>
          <w:tcPr>
            <w:tcW w:w="1843" w:type="dxa"/>
            <w:vAlign w:val="center"/>
          </w:tcPr>
          <w:p>
            <w:pPr>
              <w:pStyle w:val="15"/>
            </w:pPr>
            <w:r>
              <w:t>根据年初预算数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资金按时支付</w:t>
            </w:r>
          </w:p>
        </w:tc>
        <w:tc>
          <w:tcPr>
            <w:tcW w:w="2891" w:type="dxa"/>
            <w:vAlign w:val="center"/>
          </w:tcPr>
          <w:p>
            <w:pPr>
              <w:pStyle w:val="15"/>
            </w:pPr>
            <w:r>
              <w:t>资金按时支付</w:t>
            </w:r>
          </w:p>
        </w:tc>
        <w:tc>
          <w:tcPr>
            <w:tcW w:w="1276" w:type="dxa"/>
            <w:vAlign w:val="center"/>
          </w:tcPr>
          <w:p>
            <w:pPr>
              <w:pStyle w:val="15"/>
            </w:pPr>
            <w:r>
              <w:t>1月</w:t>
            </w:r>
          </w:p>
        </w:tc>
        <w:tc>
          <w:tcPr>
            <w:tcW w:w="1843" w:type="dxa"/>
            <w:vAlign w:val="center"/>
          </w:tcPr>
          <w:p>
            <w:pPr>
              <w:pStyle w:val="15"/>
            </w:pPr>
            <w:r>
              <w:t>根据年初预算按时支出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实施进度</w:t>
            </w:r>
          </w:p>
        </w:tc>
        <w:tc>
          <w:tcPr>
            <w:tcW w:w="2891" w:type="dxa"/>
            <w:vAlign w:val="center"/>
          </w:tcPr>
          <w:p>
            <w:pPr>
              <w:pStyle w:val="15"/>
            </w:pPr>
            <w:r>
              <w:t>实施进度</w:t>
            </w:r>
          </w:p>
        </w:tc>
        <w:tc>
          <w:tcPr>
            <w:tcW w:w="1276" w:type="dxa"/>
            <w:vAlign w:val="center"/>
          </w:tcPr>
          <w:p>
            <w:pPr>
              <w:pStyle w:val="15"/>
            </w:pPr>
            <w:r>
              <w:t>95%</w:t>
            </w:r>
          </w:p>
        </w:tc>
        <w:tc>
          <w:tcPr>
            <w:tcW w:w="1843" w:type="dxa"/>
            <w:vAlign w:val="center"/>
          </w:tcPr>
          <w:p>
            <w:pPr>
              <w:pStyle w:val="15"/>
            </w:pPr>
            <w:r>
              <w:t>根据预算安排进度执行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预算控制数</w:t>
            </w:r>
          </w:p>
        </w:tc>
        <w:tc>
          <w:tcPr>
            <w:tcW w:w="2891" w:type="dxa"/>
            <w:vAlign w:val="center"/>
          </w:tcPr>
          <w:p>
            <w:pPr>
              <w:pStyle w:val="15"/>
            </w:pPr>
            <w:r>
              <w:t>预算控制数</w:t>
            </w:r>
          </w:p>
        </w:tc>
        <w:tc>
          <w:tcPr>
            <w:tcW w:w="1276" w:type="dxa"/>
            <w:vAlign w:val="center"/>
          </w:tcPr>
          <w:p>
            <w:pPr>
              <w:pStyle w:val="15"/>
            </w:pPr>
            <w:r>
              <w:t>34.21万元/月</w:t>
            </w:r>
          </w:p>
        </w:tc>
        <w:tc>
          <w:tcPr>
            <w:tcW w:w="1843" w:type="dxa"/>
            <w:vAlign w:val="center"/>
          </w:tcPr>
          <w:p>
            <w:pPr>
              <w:pStyle w:val="15"/>
            </w:pPr>
            <w:r>
              <w:t>根据年初预算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业务保障能力</w:t>
            </w:r>
          </w:p>
        </w:tc>
        <w:tc>
          <w:tcPr>
            <w:tcW w:w="2891" w:type="dxa"/>
            <w:vAlign w:val="center"/>
          </w:tcPr>
          <w:p>
            <w:pPr>
              <w:pStyle w:val="15"/>
            </w:pPr>
            <w:r>
              <w:t>保障相关业务、工作开展情况</w:t>
            </w:r>
          </w:p>
        </w:tc>
        <w:tc>
          <w:tcPr>
            <w:tcW w:w="1276" w:type="dxa"/>
            <w:vAlign w:val="center"/>
          </w:tcPr>
          <w:p>
            <w:pPr>
              <w:pStyle w:val="15"/>
            </w:pPr>
            <w:r>
              <w:t>有一定社会影响</w:t>
            </w:r>
          </w:p>
        </w:tc>
        <w:tc>
          <w:tcPr>
            <w:tcW w:w="1843" w:type="dxa"/>
            <w:vAlign w:val="center"/>
          </w:tcPr>
          <w:p>
            <w:pPr>
              <w:pStyle w:val="15"/>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可持续性</w:t>
            </w:r>
          </w:p>
        </w:tc>
        <w:tc>
          <w:tcPr>
            <w:tcW w:w="2891" w:type="dxa"/>
            <w:vAlign w:val="center"/>
          </w:tcPr>
          <w:p>
            <w:pPr>
              <w:pStyle w:val="15"/>
            </w:pPr>
            <w:r>
              <w:t>可持续性</w:t>
            </w:r>
          </w:p>
        </w:tc>
        <w:tc>
          <w:tcPr>
            <w:tcW w:w="1276" w:type="dxa"/>
            <w:vAlign w:val="center"/>
          </w:tcPr>
          <w:p>
            <w:pPr>
              <w:pStyle w:val="15"/>
            </w:pPr>
            <w:r>
              <w:t>有一定可持续性</w:t>
            </w:r>
          </w:p>
        </w:tc>
        <w:tc>
          <w:tcPr>
            <w:tcW w:w="1843" w:type="dxa"/>
            <w:vAlign w:val="center"/>
          </w:tcPr>
          <w:p>
            <w:pPr>
              <w:pStyle w:val="15"/>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干部职工满意度</w:t>
            </w:r>
          </w:p>
        </w:tc>
        <w:tc>
          <w:tcPr>
            <w:tcW w:w="2891" w:type="dxa"/>
            <w:vAlign w:val="center"/>
          </w:tcPr>
          <w:p>
            <w:pPr>
              <w:pStyle w:val="15"/>
            </w:pPr>
            <w:r>
              <w:t>干部职工满意度</w:t>
            </w:r>
          </w:p>
        </w:tc>
        <w:tc>
          <w:tcPr>
            <w:tcW w:w="1276" w:type="dxa"/>
            <w:vAlign w:val="center"/>
          </w:tcPr>
          <w:p>
            <w:pPr>
              <w:pStyle w:val="15"/>
            </w:pPr>
            <w:r>
              <w:t>≥90%</w:t>
            </w:r>
          </w:p>
        </w:tc>
        <w:tc>
          <w:tcPr>
            <w:tcW w:w="1843" w:type="dxa"/>
            <w:vAlign w:val="center"/>
          </w:tcPr>
          <w:p>
            <w:pPr>
              <w:pStyle w:val="15"/>
            </w:pPr>
            <w:r>
              <w:t>工作总结，调查问卷</w:t>
            </w:r>
          </w:p>
        </w:tc>
      </w:tr>
    </w:tbl>
    <w:p>
      <w:pPr>
        <w:spacing w:line="300" w:lineRule="exact"/>
        <w:jc w:val="left"/>
        <w:rPr>
          <w:rFonts w:hint="eastAsia"/>
        </w:rPr>
      </w:pPr>
    </w:p>
    <w:p>
      <w:pPr>
        <w:spacing w:line="300" w:lineRule="exact"/>
        <w:jc w:val="left"/>
        <w:rPr>
          <w:rFonts w:hint="eastAsia"/>
        </w:rPr>
      </w:pPr>
    </w:p>
    <w:p>
      <w:pPr>
        <w:spacing w:line="300" w:lineRule="exact"/>
        <w:jc w:val="left"/>
        <w:rPr>
          <w:rFonts w:hint="eastAsia"/>
        </w:rPr>
      </w:pPr>
    </w:p>
    <w:p>
      <w:pPr>
        <w:spacing w:line="300" w:lineRule="exact"/>
        <w:jc w:val="left"/>
        <w:rPr>
          <w:rFonts w:hint="eastAsia"/>
        </w:rPr>
      </w:pPr>
    </w:p>
    <w:p>
      <w:pPr>
        <w:spacing w:line="300" w:lineRule="exact"/>
        <w:jc w:val="left"/>
        <w:rPr>
          <w:rFonts w:hint="eastAsia"/>
        </w:rPr>
      </w:pPr>
    </w:p>
    <w:p>
      <w:pPr>
        <w:spacing w:line="300" w:lineRule="exact"/>
        <w:jc w:val="left"/>
        <w:rPr>
          <w:rFonts w:hint="eastAsia"/>
        </w:rPr>
      </w:pPr>
    </w:p>
    <w:p>
      <w:pPr>
        <w:spacing w:line="300" w:lineRule="exact"/>
        <w:jc w:val="left"/>
        <w:rPr>
          <w:rFonts w:hint="eastAsia"/>
        </w:rPr>
      </w:pPr>
    </w:p>
    <w:p>
      <w:pPr>
        <w:spacing w:line="300" w:lineRule="exact"/>
        <w:jc w:val="left"/>
        <w:rPr>
          <w:rFonts w:hint="eastAsia"/>
        </w:rPr>
      </w:pPr>
    </w:p>
    <w:p>
      <w:pPr>
        <w:spacing w:line="300" w:lineRule="exact"/>
        <w:jc w:val="left"/>
        <w:rPr>
          <w:rFonts w:hint="eastAsia"/>
        </w:rPr>
      </w:pPr>
    </w:p>
    <w:p>
      <w:pPr>
        <w:spacing w:line="300" w:lineRule="exact"/>
        <w:jc w:val="left"/>
        <w:rPr>
          <w:rFonts w:hint="eastAsia"/>
        </w:rPr>
      </w:pPr>
    </w:p>
    <w:p>
      <w:pPr>
        <w:spacing w:line="300" w:lineRule="exact"/>
        <w:jc w:val="left"/>
        <w:rPr>
          <w:rFonts w:hint="eastAsia"/>
        </w:rPr>
      </w:pPr>
    </w:p>
    <w:p>
      <w:pPr>
        <w:spacing w:line="300" w:lineRule="exact"/>
        <w:jc w:val="left"/>
        <w:rPr>
          <w:rFonts w:hint="eastAsia"/>
        </w:rPr>
      </w:pPr>
    </w:p>
    <w:p>
      <w:pPr>
        <w:spacing w:line="300" w:lineRule="exact"/>
        <w:jc w:val="left"/>
        <w:rPr>
          <w:rFonts w:hint="eastAsia"/>
        </w:rPr>
      </w:pPr>
    </w:p>
    <w:p>
      <w:pPr>
        <w:spacing w:line="300" w:lineRule="exact"/>
        <w:jc w:val="left"/>
        <w:rPr>
          <w:rFonts w:hint="eastAsia"/>
        </w:rPr>
      </w:pPr>
    </w:p>
    <w:p>
      <w:pPr>
        <w:spacing w:line="300" w:lineRule="exact"/>
        <w:jc w:val="left"/>
        <w:rPr>
          <w:rFonts w:hint="eastAsia"/>
        </w:rPr>
      </w:pPr>
    </w:p>
    <w:p>
      <w:pPr>
        <w:spacing w:line="300" w:lineRule="exact"/>
        <w:jc w:val="left"/>
        <w:rPr>
          <w:rFonts w:hint="eastAsia"/>
        </w:rPr>
      </w:pPr>
    </w:p>
    <w:p>
      <w:pPr>
        <w:spacing w:line="300" w:lineRule="exact"/>
        <w:jc w:val="left"/>
        <w:rPr>
          <w:rFonts w:hint="eastAsia"/>
        </w:rPr>
      </w:pPr>
    </w:p>
    <w:p>
      <w:pPr>
        <w:ind w:firstLine="560"/>
        <w:outlineLvl w:val="3"/>
      </w:pPr>
      <w:bookmarkStart w:id="8" w:name="_Toc_4_4_0000000012"/>
      <w:r>
        <w:rPr>
          <w:rFonts w:ascii="方正仿宋_GBK" w:hAnsi="方正仿宋_GBK" w:eastAsia="方正仿宋_GBK" w:cs="方正仿宋_GBK"/>
          <w:color w:val="000000"/>
          <w:sz w:val="28"/>
        </w:rPr>
        <w:t>9.日常办公业务费绩效目标表</w:t>
      </w:r>
      <w:bookmarkEnd w:id="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ind w:left="420"/>
            </w:pPr>
            <w:r>
              <w:t>209001香河县行政审批局本级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5"/>
            </w:pPr>
            <w:r>
              <w:t>13102422P00D8C110003H</w:t>
            </w:r>
          </w:p>
        </w:tc>
        <w:tc>
          <w:tcPr>
            <w:tcW w:w="1587" w:type="dxa"/>
            <w:vAlign w:val="center"/>
          </w:tcPr>
          <w:p>
            <w:pPr>
              <w:pStyle w:val="16"/>
            </w:pPr>
            <w:r>
              <w:t>项目名称</w:t>
            </w:r>
          </w:p>
        </w:tc>
        <w:tc>
          <w:tcPr>
            <w:tcW w:w="4422" w:type="dxa"/>
            <w:gridSpan w:val="3"/>
            <w:vAlign w:val="center"/>
          </w:tcPr>
          <w:p>
            <w:pPr>
              <w:pStyle w:val="15"/>
            </w:pPr>
            <w:r>
              <w:t>日常办公业务费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146.00</w:t>
            </w:r>
          </w:p>
        </w:tc>
        <w:tc>
          <w:tcPr>
            <w:tcW w:w="1587" w:type="dxa"/>
            <w:vAlign w:val="center"/>
          </w:tcPr>
          <w:p>
            <w:pPr>
              <w:pStyle w:val="16"/>
            </w:pPr>
            <w:r>
              <w:t>其中：财政    资金</w:t>
            </w:r>
          </w:p>
        </w:tc>
        <w:tc>
          <w:tcPr>
            <w:tcW w:w="1304" w:type="dxa"/>
            <w:vAlign w:val="center"/>
          </w:tcPr>
          <w:p>
            <w:pPr>
              <w:pStyle w:val="15"/>
            </w:pPr>
            <w:r>
              <w:t>146.00</w:t>
            </w:r>
          </w:p>
        </w:tc>
        <w:tc>
          <w:tcPr>
            <w:tcW w:w="1276" w:type="dxa"/>
            <w:vAlign w:val="center"/>
          </w:tcPr>
          <w:p>
            <w:pPr>
              <w:pStyle w:val="16"/>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日常办公业务费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 xml:space="preserve"> </w:t>
            </w:r>
          </w:p>
        </w:tc>
        <w:tc>
          <w:tcPr>
            <w:tcW w:w="1304" w:type="dxa"/>
            <w:vAlign w:val="center"/>
          </w:tcPr>
          <w:p>
            <w:pPr>
              <w:pStyle w:val="17"/>
            </w:pPr>
            <w:r>
              <w:t xml:space="preserve"> </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5"/>
            </w:pPr>
            <w:r>
              <w:t>1.目标内容1</w:t>
            </w:r>
          </w:p>
        </w:tc>
      </w:tr>
    </w:tbl>
    <w:p>
      <w:pPr>
        <w:spacing w:line="2" w:lineRule="exact"/>
        <w:jc w:val="center"/>
      </w:pPr>
      <w:r>
        <w:rPr>
          <w:rFonts w:ascii="方正书宋_GBK" w:hAnsi="方正书宋_GBK" w:eastAsia="方正书宋_GBK" w:cs="方正书宋_GBK"/>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培训人员人次</w:t>
            </w:r>
          </w:p>
        </w:tc>
        <w:tc>
          <w:tcPr>
            <w:tcW w:w="2891" w:type="dxa"/>
            <w:vAlign w:val="center"/>
          </w:tcPr>
          <w:p>
            <w:pPr>
              <w:pStyle w:val="15"/>
            </w:pPr>
            <w:r>
              <w:t>培训人员人次</w:t>
            </w:r>
          </w:p>
        </w:tc>
        <w:tc>
          <w:tcPr>
            <w:tcW w:w="1276" w:type="dxa"/>
            <w:vAlign w:val="center"/>
          </w:tcPr>
          <w:p>
            <w:pPr>
              <w:pStyle w:val="15"/>
            </w:pPr>
            <w:r>
              <w:t>≥3次</w:t>
            </w:r>
          </w:p>
        </w:tc>
        <w:tc>
          <w:tcPr>
            <w:tcW w:w="1843" w:type="dxa"/>
            <w:vAlign w:val="center"/>
          </w:tcPr>
          <w:p>
            <w:pPr>
              <w:pStyle w:val="15"/>
            </w:pPr>
            <w:r>
              <w:t>根据上级安排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培训合格率</w:t>
            </w:r>
          </w:p>
        </w:tc>
        <w:tc>
          <w:tcPr>
            <w:tcW w:w="2891" w:type="dxa"/>
            <w:vAlign w:val="center"/>
          </w:tcPr>
          <w:p>
            <w:pPr>
              <w:pStyle w:val="15"/>
            </w:pPr>
            <w:r>
              <w:t>外出人员培训合格率</w:t>
            </w:r>
          </w:p>
        </w:tc>
        <w:tc>
          <w:tcPr>
            <w:tcW w:w="1276" w:type="dxa"/>
            <w:vAlign w:val="center"/>
          </w:tcPr>
          <w:p>
            <w:pPr>
              <w:pStyle w:val="15"/>
            </w:pPr>
            <w:r>
              <w:t>≥95百分之</w:t>
            </w:r>
          </w:p>
        </w:tc>
        <w:tc>
          <w:tcPr>
            <w:tcW w:w="1843" w:type="dxa"/>
            <w:vAlign w:val="center"/>
          </w:tcPr>
          <w:p>
            <w:pPr>
              <w:pStyle w:val="15"/>
            </w:pPr>
            <w:r>
              <w:t>根据培训文件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按时完成率</w:t>
            </w:r>
          </w:p>
        </w:tc>
        <w:tc>
          <w:tcPr>
            <w:tcW w:w="2891" w:type="dxa"/>
            <w:vAlign w:val="center"/>
          </w:tcPr>
          <w:p>
            <w:pPr>
              <w:pStyle w:val="15"/>
            </w:pPr>
            <w:r>
              <w:t>按时完成率</w:t>
            </w:r>
          </w:p>
        </w:tc>
        <w:tc>
          <w:tcPr>
            <w:tcW w:w="1276" w:type="dxa"/>
            <w:vAlign w:val="center"/>
          </w:tcPr>
          <w:p>
            <w:pPr>
              <w:pStyle w:val="15"/>
            </w:pPr>
            <w:r>
              <w:t>≥95百分之</w:t>
            </w:r>
          </w:p>
        </w:tc>
        <w:tc>
          <w:tcPr>
            <w:tcW w:w="1843" w:type="dxa"/>
            <w:vAlign w:val="center"/>
          </w:tcPr>
          <w:p>
            <w:pPr>
              <w:pStyle w:val="15"/>
            </w:pPr>
            <w:r>
              <w:t>根据任务完成实际情况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项目预算控制数</w:t>
            </w:r>
          </w:p>
        </w:tc>
        <w:tc>
          <w:tcPr>
            <w:tcW w:w="2891" w:type="dxa"/>
            <w:vAlign w:val="center"/>
          </w:tcPr>
          <w:p>
            <w:pPr>
              <w:pStyle w:val="15"/>
            </w:pPr>
            <w:r>
              <w:t>开展此项目的成本</w:t>
            </w:r>
          </w:p>
        </w:tc>
        <w:tc>
          <w:tcPr>
            <w:tcW w:w="1276" w:type="dxa"/>
            <w:vAlign w:val="center"/>
          </w:tcPr>
          <w:p>
            <w:pPr>
              <w:pStyle w:val="15"/>
            </w:pPr>
            <w:r>
              <w:t>≤146万元</w:t>
            </w:r>
          </w:p>
        </w:tc>
        <w:tc>
          <w:tcPr>
            <w:tcW w:w="1843" w:type="dxa"/>
            <w:vAlign w:val="center"/>
          </w:tcPr>
          <w:p>
            <w:pPr>
              <w:pStyle w:val="15"/>
            </w:pPr>
            <w:r>
              <w:t>根据预算申请明细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加强政务平台的建设和管理，建立和完善政务服务体系</w:t>
            </w:r>
          </w:p>
        </w:tc>
        <w:tc>
          <w:tcPr>
            <w:tcW w:w="2891" w:type="dxa"/>
            <w:vAlign w:val="center"/>
          </w:tcPr>
          <w:p>
            <w:pPr>
              <w:pStyle w:val="15"/>
            </w:pPr>
            <w:r>
              <w:t>加强政务平台的建设和管理，建立和完善政务服务体系</w:t>
            </w:r>
          </w:p>
        </w:tc>
        <w:tc>
          <w:tcPr>
            <w:tcW w:w="1276" w:type="dxa"/>
            <w:vAlign w:val="center"/>
          </w:tcPr>
          <w:p>
            <w:pPr>
              <w:pStyle w:val="15"/>
            </w:pPr>
            <w:r>
              <w:t>有一定社会影响力</w:t>
            </w:r>
          </w:p>
        </w:tc>
        <w:tc>
          <w:tcPr>
            <w:tcW w:w="1843" w:type="dxa"/>
            <w:vAlign w:val="center"/>
          </w:tcPr>
          <w:p>
            <w:pPr>
              <w:pStyle w:val="15"/>
            </w:pPr>
            <w:r>
              <w:t>根据工作总结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可持续性</w:t>
            </w:r>
          </w:p>
        </w:tc>
        <w:tc>
          <w:tcPr>
            <w:tcW w:w="2891" w:type="dxa"/>
            <w:vAlign w:val="center"/>
          </w:tcPr>
          <w:p>
            <w:pPr>
              <w:pStyle w:val="15"/>
            </w:pPr>
            <w:r>
              <w:t>可持续性</w:t>
            </w:r>
          </w:p>
        </w:tc>
        <w:tc>
          <w:tcPr>
            <w:tcW w:w="1276" w:type="dxa"/>
            <w:vAlign w:val="center"/>
          </w:tcPr>
          <w:p>
            <w:pPr>
              <w:pStyle w:val="15"/>
            </w:pPr>
            <w:r>
              <w:t>有一定可持续影响</w:t>
            </w:r>
          </w:p>
        </w:tc>
        <w:tc>
          <w:tcPr>
            <w:tcW w:w="1843" w:type="dxa"/>
            <w:vAlign w:val="center"/>
          </w:tcPr>
          <w:p>
            <w:pPr>
              <w:pStyle w:val="15"/>
            </w:pPr>
            <w:r>
              <w:t>根据工作总结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提高工作效率</w:t>
            </w:r>
          </w:p>
        </w:tc>
        <w:tc>
          <w:tcPr>
            <w:tcW w:w="2891" w:type="dxa"/>
            <w:vAlign w:val="center"/>
          </w:tcPr>
          <w:p>
            <w:pPr>
              <w:pStyle w:val="15"/>
            </w:pPr>
            <w:r>
              <w:t>提高工作效率</w:t>
            </w:r>
          </w:p>
        </w:tc>
        <w:tc>
          <w:tcPr>
            <w:tcW w:w="1276" w:type="dxa"/>
            <w:vAlign w:val="center"/>
          </w:tcPr>
          <w:p>
            <w:pPr>
              <w:pStyle w:val="15"/>
            </w:pPr>
            <w:r>
              <w:t>发挥可持续影响</w:t>
            </w:r>
          </w:p>
        </w:tc>
        <w:tc>
          <w:tcPr>
            <w:tcW w:w="1843" w:type="dxa"/>
            <w:vAlign w:val="center"/>
          </w:tcPr>
          <w:p>
            <w:pPr>
              <w:pStyle w:val="15"/>
            </w:pPr>
            <w:r>
              <w:t>根据实际调查问卷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干部职工满意度</w:t>
            </w:r>
          </w:p>
        </w:tc>
        <w:tc>
          <w:tcPr>
            <w:tcW w:w="2891" w:type="dxa"/>
            <w:vAlign w:val="center"/>
          </w:tcPr>
          <w:p>
            <w:pPr>
              <w:pStyle w:val="15"/>
            </w:pPr>
            <w:r>
              <w:t>干部职工满意度</w:t>
            </w:r>
          </w:p>
        </w:tc>
        <w:tc>
          <w:tcPr>
            <w:tcW w:w="1276" w:type="dxa"/>
            <w:vAlign w:val="center"/>
          </w:tcPr>
          <w:p>
            <w:pPr>
              <w:pStyle w:val="15"/>
            </w:pPr>
            <w:r>
              <w:t>≥95百分之</w:t>
            </w:r>
          </w:p>
        </w:tc>
        <w:tc>
          <w:tcPr>
            <w:tcW w:w="1843" w:type="dxa"/>
            <w:vAlign w:val="center"/>
          </w:tcPr>
          <w:p>
            <w:pPr>
              <w:pStyle w:val="15"/>
            </w:pPr>
            <w:r>
              <w:t>根据实际走访调查</w:t>
            </w:r>
          </w:p>
        </w:tc>
      </w:tr>
    </w:tbl>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ind w:firstLine="560"/>
        <w:outlineLvl w:val="3"/>
      </w:pPr>
      <w:bookmarkStart w:id="9" w:name="_Toc_4_4_0000000013"/>
      <w:r>
        <w:rPr>
          <w:rFonts w:ascii="方正仿宋_GBK" w:hAnsi="方正仿宋_GBK" w:eastAsia="方正仿宋_GBK" w:cs="方正仿宋_GBK"/>
          <w:color w:val="000000"/>
          <w:sz w:val="28"/>
        </w:rPr>
        <w:t>10.土地出让发布公告绩效目标表</w:t>
      </w:r>
      <w:bookmarkEnd w:id="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ind w:left="420"/>
            </w:pPr>
            <w:r>
              <w:t>209001香河县行政审批局本级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5"/>
            </w:pPr>
            <w:r>
              <w:t>13102422P00783710029G</w:t>
            </w:r>
          </w:p>
        </w:tc>
        <w:tc>
          <w:tcPr>
            <w:tcW w:w="1587" w:type="dxa"/>
            <w:vAlign w:val="center"/>
          </w:tcPr>
          <w:p>
            <w:pPr>
              <w:pStyle w:val="16"/>
            </w:pPr>
            <w:r>
              <w:t>项目名称</w:t>
            </w:r>
          </w:p>
        </w:tc>
        <w:tc>
          <w:tcPr>
            <w:tcW w:w="4422" w:type="dxa"/>
            <w:gridSpan w:val="3"/>
            <w:vAlign w:val="center"/>
          </w:tcPr>
          <w:p>
            <w:pPr>
              <w:pStyle w:val="15"/>
            </w:pPr>
            <w:r>
              <w:t>土地出让发布公告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10.00</w:t>
            </w:r>
          </w:p>
        </w:tc>
        <w:tc>
          <w:tcPr>
            <w:tcW w:w="1587" w:type="dxa"/>
            <w:vAlign w:val="center"/>
          </w:tcPr>
          <w:p>
            <w:pPr>
              <w:pStyle w:val="16"/>
            </w:pPr>
            <w:r>
              <w:t>其中：财政    资金</w:t>
            </w:r>
          </w:p>
        </w:tc>
        <w:tc>
          <w:tcPr>
            <w:tcW w:w="1304" w:type="dxa"/>
            <w:vAlign w:val="center"/>
          </w:tcPr>
          <w:p>
            <w:pPr>
              <w:pStyle w:val="15"/>
            </w:pPr>
            <w:r>
              <w:t>10.00</w:t>
            </w:r>
          </w:p>
        </w:tc>
        <w:tc>
          <w:tcPr>
            <w:tcW w:w="1276" w:type="dxa"/>
            <w:vAlign w:val="center"/>
          </w:tcPr>
          <w:p>
            <w:pPr>
              <w:pStyle w:val="16"/>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土地出让发布公告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 xml:space="preserve"> </w:t>
            </w:r>
          </w:p>
        </w:tc>
        <w:tc>
          <w:tcPr>
            <w:tcW w:w="1304" w:type="dxa"/>
            <w:vAlign w:val="center"/>
          </w:tcPr>
          <w:p>
            <w:pPr>
              <w:pStyle w:val="17"/>
            </w:pPr>
            <w:r>
              <w:t xml:space="preserve"> </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5"/>
            </w:pPr>
            <w:r>
              <w:t>1.加强供地信息公示，加大土地出让信息公开力度，接受公众查询和社会监督。</w:t>
            </w:r>
          </w:p>
        </w:tc>
      </w:tr>
    </w:tbl>
    <w:p>
      <w:pPr>
        <w:spacing w:line="2" w:lineRule="exact"/>
        <w:jc w:val="center"/>
      </w:pPr>
      <w:r>
        <w:rPr>
          <w:rFonts w:ascii="方正书宋_GBK" w:hAnsi="方正书宋_GBK" w:eastAsia="方正书宋_GBK" w:cs="方正书宋_GBK"/>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服务时间</w:t>
            </w:r>
          </w:p>
        </w:tc>
        <w:tc>
          <w:tcPr>
            <w:tcW w:w="2891" w:type="dxa"/>
            <w:vAlign w:val="center"/>
          </w:tcPr>
          <w:p>
            <w:pPr>
              <w:pStyle w:val="15"/>
            </w:pPr>
            <w:r>
              <w:t>服务时间</w:t>
            </w:r>
          </w:p>
        </w:tc>
        <w:tc>
          <w:tcPr>
            <w:tcW w:w="1276" w:type="dxa"/>
            <w:vAlign w:val="center"/>
          </w:tcPr>
          <w:p>
            <w:pPr>
              <w:pStyle w:val="15"/>
            </w:pPr>
            <w:r>
              <w:t>≥12月</w:t>
            </w:r>
          </w:p>
        </w:tc>
        <w:tc>
          <w:tcPr>
            <w:tcW w:w="1843" w:type="dxa"/>
            <w:vAlign w:val="center"/>
          </w:tcPr>
          <w:p>
            <w:pPr>
              <w:pStyle w:val="15"/>
            </w:pPr>
            <w:r>
              <w:t>根据服务合同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稳定性</w:t>
            </w:r>
          </w:p>
        </w:tc>
        <w:tc>
          <w:tcPr>
            <w:tcW w:w="2891" w:type="dxa"/>
            <w:vAlign w:val="center"/>
          </w:tcPr>
          <w:p>
            <w:pPr>
              <w:pStyle w:val="15"/>
            </w:pPr>
            <w:r>
              <w:t>稳定性</w:t>
            </w:r>
          </w:p>
        </w:tc>
        <w:tc>
          <w:tcPr>
            <w:tcW w:w="1276" w:type="dxa"/>
            <w:vAlign w:val="center"/>
          </w:tcPr>
          <w:p>
            <w:pPr>
              <w:pStyle w:val="15"/>
            </w:pPr>
            <w:r>
              <w:t>≥95百分之</w:t>
            </w:r>
          </w:p>
        </w:tc>
        <w:tc>
          <w:tcPr>
            <w:tcW w:w="1843" w:type="dxa"/>
            <w:vAlign w:val="center"/>
          </w:tcPr>
          <w:p>
            <w:pPr>
              <w:pStyle w:val="15"/>
            </w:pPr>
            <w: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运维开始时间</w:t>
            </w:r>
          </w:p>
        </w:tc>
        <w:tc>
          <w:tcPr>
            <w:tcW w:w="2891" w:type="dxa"/>
            <w:vAlign w:val="center"/>
          </w:tcPr>
          <w:p>
            <w:pPr>
              <w:pStyle w:val="15"/>
            </w:pPr>
            <w:r>
              <w:t>运维开始时间</w:t>
            </w:r>
          </w:p>
        </w:tc>
        <w:tc>
          <w:tcPr>
            <w:tcW w:w="1276" w:type="dxa"/>
            <w:vAlign w:val="center"/>
          </w:tcPr>
          <w:p>
            <w:pPr>
              <w:pStyle w:val="15"/>
            </w:pPr>
            <w:r>
              <w:t>2022年1月</w:t>
            </w:r>
          </w:p>
        </w:tc>
        <w:tc>
          <w:tcPr>
            <w:tcW w:w="1843" w:type="dxa"/>
            <w:vAlign w:val="center"/>
          </w:tcPr>
          <w:p>
            <w:pPr>
              <w:pStyle w:val="15"/>
            </w:pPr>
            <w:r>
              <w:t>根据服务合同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运维结束时间</w:t>
            </w:r>
          </w:p>
        </w:tc>
        <w:tc>
          <w:tcPr>
            <w:tcW w:w="2891" w:type="dxa"/>
            <w:vAlign w:val="center"/>
          </w:tcPr>
          <w:p>
            <w:pPr>
              <w:pStyle w:val="15"/>
            </w:pPr>
            <w:r>
              <w:t>运维结束时间</w:t>
            </w:r>
          </w:p>
        </w:tc>
        <w:tc>
          <w:tcPr>
            <w:tcW w:w="1276" w:type="dxa"/>
            <w:vAlign w:val="center"/>
          </w:tcPr>
          <w:p>
            <w:pPr>
              <w:pStyle w:val="15"/>
            </w:pPr>
            <w:r>
              <w:t>2022年12月</w:t>
            </w:r>
          </w:p>
        </w:tc>
        <w:tc>
          <w:tcPr>
            <w:tcW w:w="1843" w:type="dxa"/>
            <w:vAlign w:val="center"/>
          </w:tcPr>
          <w:p>
            <w:pPr>
              <w:pStyle w:val="15"/>
            </w:pPr>
            <w:r>
              <w:t>根据服务合同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项目预算控制数</w:t>
            </w:r>
          </w:p>
        </w:tc>
        <w:tc>
          <w:tcPr>
            <w:tcW w:w="2891" w:type="dxa"/>
            <w:vAlign w:val="center"/>
          </w:tcPr>
          <w:p>
            <w:pPr>
              <w:pStyle w:val="15"/>
            </w:pPr>
            <w:r>
              <w:t>开展此项目的成本</w:t>
            </w:r>
          </w:p>
        </w:tc>
        <w:tc>
          <w:tcPr>
            <w:tcW w:w="1276" w:type="dxa"/>
            <w:vAlign w:val="center"/>
          </w:tcPr>
          <w:p>
            <w:pPr>
              <w:pStyle w:val="15"/>
            </w:pPr>
            <w:r>
              <w:t>≤10万元</w:t>
            </w:r>
          </w:p>
        </w:tc>
        <w:tc>
          <w:tcPr>
            <w:tcW w:w="1843" w:type="dxa"/>
            <w:vAlign w:val="center"/>
          </w:tcPr>
          <w:p>
            <w:pPr>
              <w:pStyle w:val="15"/>
            </w:pPr>
            <w:r>
              <w:t>根据预算申请明细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接受公众查询和社会监督</w:t>
            </w:r>
          </w:p>
        </w:tc>
        <w:tc>
          <w:tcPr>
            <w:tcW w:w="2891" w:type="dxa"/>
            <w:vAlign w:val="center"/>
          </w:tcPr>
          <w:p>
            <w:pPr>
              <w:pStyle w:val="15"/>
            </w:pPr>
            <w:r>
              <w:t>接受公众查询和社会监督</w:t>
            </w:r>
          </w:p>
        </w:tc>
        <w:tc>
          <w:tcPr>
            <w:tcW w:w="1276" w:type="dxa"/>
            <w:vAlign w:val="center"/>
          </w:tcPr>
          <w:p>
            <w:pPr>
              <w:pStyle w:val="15"/>
            </w:pPr>
            <w:r>
              <w:t>群众满意</w:t>
            </w:r>
          </w:p>
        </w:tc>
        <w:tc>
          <w:tcPr>
            <w:tcW w:w="1843" w:type="dxa"/>
            <w:vAlign w:val="center"/>
          </w:tcPr>
          <w:p>
            <w:pPr>
              <w:pStyle w:val="15"/>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更好发挥审批职能</w:t>
            </w:r>
          </w:p>
        </w:tc>
        <w:tc>
          <w:tcPr>
            <w:tcW w:w="2891" w:type="dxa"/>
            <w:vAlign w:val="center"/>
          </w:tcPr>
          <w:p>
            <w:pPr>
              <w:pStyle w:val="15"/>
            </w:pPr>
            <w:r>
              <w:t>更好发挥审批职能</w:t>
            </w:r>
          </w:p>
        </w:tc>
        <w:tc>
          <w:tcPr>
            <w:tcW w:w="1276" w:type="dxa"/>
            <w:vAlign w:val="center"/>
          </w:tcPr>
          <w:p>
            <w:pPr>
              <w:pStyle w:val="15"/>
            </w:pPr>
            <w:r>
              <w:t>起到可持续影响</w:t>
            </w:r>
          </w:p>
        </w:tc>
        <w:tc>
          <w:tcPr>
            <w:tcW w:w="1843" w:type="dxa"/>
            <w:vAlign w:val="center"/>
          </w:tcPr>
          <w:p>
            <w:pPr>
              <w:pStyle w:val="15"/>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服务对象满意度</w:t>
            </w:r>
          </w:p>
        </w:tc>
        <w:tc>
          <w:tcPr>
            <w:tcW w:w="2891" w:type="dxa"/>
            <w:vAlign w:val="center"/>
          </w:tcPr>
          <w:p>
            <w:pPr>
              <w:pStyle w:val="15"/>
            </w:pPr>
            <w:r>
              <w:t>服务对象对第三方开展相应工作的满意程度</w:t>
            </w:r>
          </w:p>
        </w:tc>
        <w:tc>
          <w:tcPr>
            <w:tcW w:w="1276" w:type="dxa"/>
            <w:vAlign w:val="center"/>
          </w:tcPr>
          <w:p>
            <w:pPr>
              <w:pStyle w:val="15"/>
            </w:pPr>
            <w:r>
              <w:t>≥95百分之</w:t>
            </w:r>
          </w:p>
        </w:tc>
        <w:tc>
          <w:tcPr>
            <w:tcW w:w="1843" w:type="dxa"/>
            <w:vAlign w:val="center"/>
          </w:tcPr>
          <w:p>
            <w:pPr>
              <w:pStyle w:val="15"/>
            </w:pPr>
            <w:r>
              <w:t>根据实际调查、询问</w:t>
            </w:r>
          </w:p>
        </w:tc>
      </w:tr>
    </w:tbl>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ind w:firstLine="560"/>
        <w:outlineLvl w:val="3"/>
      </w:pPr>
      <w:bookmarkStart w:id="10" w:name="_Toc_4_4_0000000014"/>
      <w:r>
        <w:rPr>
          <w:rFonts w:ascii="方正仿宋_GBK" w:hAnsi="方正仿宋_GBK" w:eastAsia="方正仿宋_GBK" w:cs="方正仿宋_GBK"/>
          <w:color w:val="000000"/>
          <w:sz w:val="28"/>
        </w:rPr>
        <w:t>11.香河县政务审批及审管互动平台建设项目运行维护费用绩效目标表</w:t>
      </w:r>
      <w:bookmarkEnd w:id="1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ind w:left="420"/>
            </w:pPr>
            <w:r>
              <w:t>209001香河县行政审批局本级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5"/>
            </w:pPr>
            <w:r>
              <w:t>13102422P00288710003A</w:t>
            </w:r>
          </w:p>
        </w:tc>
        <w:tc>
          <w:tcPr>
            <w:tcW w:w="1587" w:type="dxa"/>
            <w:vAlign w:val="center"/>
          </w:tcPr>
          <w:p>
            <w:pPr>
              <w:pStyle w:val="16"/>
            </w:pPr>
            <w:r>
              <w:t>项目名称</w:t>
            </w:r>
          </w:p>
        </w:tc>
        <w:tc>
          <w:tcPr>
            <w:tcW w:w="4422" w:type="dxa"/>
            <w:gridSpan w:val="3"/>
            <w:vAlign w:val="center"/>
          </w:tcPr>
          <w:p>
            <w:pPr>
              <w:pStyle w:val="15"/>
            </w:pPr>
            <w:r>
              <w:t>香河县政务审批及审管互动平台建设项目运行维护费用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56.00</w:t>
            </w:r>
          </w:p>
        </w:tc>
        <w:tc>
          <w:tcPr>
            <w:tcW w:w="1587" w:type="dxa"/>
            <w:vAlign w:val="center"/>
          </w:tcPr>
          <w:p>
            <w:pPr>
              <w:pStyle w:val="16"/>
            </w:pPr>
            <w:r>
              <w:t>其中：财政    资金</w:t>
            </w:r>
          </w:p>
        </w:tc>
        <w:tc>
          <w:tcPr>
            <w:tcW w:w="1304" w:type="dxa"/>
            <w:vAlign w:val="center"/>
          </w:tcPr>
          <w:p>
            <w:pPr>
              <w:pStyle w:val="15"/>
            </w:pPr>
            <w:r>
              <w:t>56.00</w:t>
            </w:r>
          </w:p>
        </w:tc>
        <w:tc>
          <w:tcPr>
            <w:tcW w:w="1276" w:type="dxa"/>
            <w:vAlign w:val="center"/>
          </w:tcPr>
          <w:p>
            <w:pPr>
              <w:pStyle w:val="16"/>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政务审批及审管互动平台建设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 xml:space="preserve"> </w:t>
            </w:r>
          </w:p>
        </w:tc>
        <w:tc>
          <w:tcPr>
            <w:tcW w:w="1304" w:type="dxa"/>
            <w:vAlign w:val="center"/>
          </w:tcPr>
          <w:p>
            <w:pPr>
              <w:pStyle w:val="17"/>
            </w:pPr>
            <w:r>
              <w:t xml:space="preserve"> </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5"/>
            </w:pPr>
            <w:r>
              <w:t>1.通过项目的开展，保证政务审批及审管互动信息平台软件正常运行，促进办公一体化，提高工作效率，更好的发挥行政审批职能，更好的满足业务发展需要。</w:t>
            </w:r>
          </w:p>
        </w:tc>
      </w:tr>
    </w:tbl>
    <w:p>
      <w:pPr>
        <w:spacing w:line="2" w:lineRule="exact"/>
        <w:jc w:val="center"/>
      </w:pPr>
      <w:r>
        <w:rPr>
          <w:rFonts w:ascii="方正书宋_GBK" w:hAnsi="方正书宋_GBK" w:eastAsia="方正书宋_GBK" w:cs="方正书宋_GBK"/>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服务时间</w:t>
            </w:r>
          </w:p>
        </w:tc>
        <w:tc>
          <w:tcPr>
            <w:tcW w:w="2891" w:type="dxa"/>
            <w:vAlign w:val="center"/>
          </w:tcPr>
          <w:p>
            <w:pPr>
              <w:pStyle w:val="15"/>
            </w:pPr>
            <w:r>
              <w:t>服务时间</w:t>
            </w:r>
          </w:p>
        </w:tc>
        <w:tc>
          <w:tcPr>
            <w:tcW w:w="1276" w:type="dxa"/>
            <w:vAlign w:val="center"/>
          </w:tcPr>
          <w:p>
            <w:pPr>
              <w:pStyle w:val="15"/>
            </w:pPr>
            <w:r>
              <w:t>≥6月</w:t>
            </w:r>
          </w:p>
        </w:tc>
        <w:tc>
          <w:tcPr>
            <w:tcW w:w="1843" w:type="dxa"/>
            <w:vAlign w:val="center"/>
          </w:tcPr>
          <w:p>
            <w:pPr>
              <w:pStyle w:val="15"/>
            </w:pPr>
            <w:r>
              <w:t>根据服务合同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稳定性</w:t>
            </w:r>
          </w:p>
        </w:tc>
        <w:tc>
          <w:tcPr>
            <w:tcW w:w="2891" w:type="dxa"/>
            <w:vAlign w:val="center"/>
          </w:tcPr>
          <w:p>
            <w:pPr>
              <w:pStyle w:val="15"/>
            </w:pPr>
            <w:r>
              <w:t>稳定性</w:t>
            </w:r>
          </w:p>
        </w:tc>
        <w:tc>
          <w:tcPr>
            <w:tcW w:w="1276" w:type="dxa"/>
            <w:vAlign w:val="center"/>
          </w:tcPr>
          <w:p>
            <w:pPr>
              <w:pStyle w:val="15"/>
            </w:pPr>
            <w:r>
              <w:t>≥95百分之</w:t>
            </w:r>
          </w:p>
        </w:tc>
        <w:tc>
          <w:tcPr>
            <w:tcW w:w="1843" w:type="dxa"/>
            <w:vAlign w:val="center"/>
          </w:tcPr>
          <w:p>
            <w:pPr>
              <w:pStyle w:val="15"/>
            </w:pPr>
            <w: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运维开始时间</w:t>
            </w:r>
          </w:p>
        </w:tc>
        <w:tc>
          <w:tcPr>
            <w:tcW w:w="2891" w:type="dxa"/>
            <w:vAlign w:val="center"/>
          </w:tcPr>
          <w:p>
            <w:pPr>
              <w:pStyle w:val="15"/>
            </w:pPr>
            <w:r>
              <w:t>运维开始时间</w:t>
            </w:r>
          </w:p>
        </w:tc>
        <w:tc>
          <w:tcPr>
            <w:tcW w:w="1276" w:type="dxa"/>
            <w:vAlign w:val="center"/>
          </w:tcPr>
          <w:p>
            <w:pPr>
              <w:pStyle w:val="15"/>
            </w:pPr>
            <w:r>
              <w:t>2021年7月</w:t>
            </w:r>
          </w:p>
        </w:tc>
        <w:tc>
          <w:tcPr>
            <w:tcW w:w="1843" w:type="dxa"/>
            <w:vAlign w:val="center"/>
          </w:tcPr>
          <w:p>
            <w:pPr>
              <w:pStyle w:val="15"/>
            </w:pPr>
            <w:r>
              <w:t>根据服务合同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运维结束时间</w:t>
            </w:r>
          </w:p>
        </w:tc>
        <w:tc>
          <w:tcPr>
            <w:tcW w:w="2891" w:type="dxa"/>
            <w:vAlign w:val="center"/>
          </w:tcPr>
          <w:p>
            <w:pPr>
              <w:pStyle w:val="15"/>
            </w:pPr>
            <w:r>
              <w:t>运维结束时间</w:t>
            </w:r>
          </w:p>
        </w:tc>
        <w:tc>
          <w:tcPr>
            <w:tcW w:w="1276" w:type="dxa"/>
            <w:vAlign w:val="center"/>
          </w:tcPr>
          <w:p>
            <w:pPr>
              <w:pStyle w:val="15"/>
            </w:pPr>
            <w:r>
              <w:t>2022年7月</w:t>
            </w:r>
          </w:p>
        </w:tc>
        <w:tc>
          <w:tcPr>
            <w:tcW w:w="1843" w:type="dxa"/>
            <w:vAlign w:val="center"/>
          </w:tcPr>
          <w:p>
            <w:pPr>
              <w:pStyle w:val="15"/>
            </w:pPr>
            <w:r>
              <w:t>根据服务合同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服务采购成本</w:t>
            </w:r>
          </w:p>
        </w:tc>
        <w:tc>
          <w:tcPr>
            <w:tcW w:w="2891" w:type="dxa"/>
            <w:vAlign w:val="center"/>
          </w:tcPr>
          <w:p>
            <w:pPr>
              <w:pStyle w:val="15"/>
            </w:pPr>
            <w:r>
              <w:t>开展此项目的成本</w:t>
            </w:r>
          </w:p>
        </w:tc>
        <w:tc>
          <w:tcPr>
            <w:tcW w:w="1276" w:type="dxa"/>
            <w:vAlign w:val="center"/>
          </w:tcPr>
          <w:p>
            <w:pPr>
              <w:pStyle w:val="15"/>
            </w:pPr>
            <w:r>
              <w:t>≤56万元</w:t>
            </w:r>
          </w:p>
        </w:tc>
        <w:tc>
          <w:tcPr>
            <w:tcW w:w="1843" w:type="dxa"/>
            <w:vAlign w:val="center"/>
          </w:tcPr>
          <w:p>
            <w:pPr>
              <w:pStyle w:val="15"/>
            </w:pPr>
            <w:r>
              <w:t>根据预算申请明细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促进办公一体化，提高工作效率</w:t>
            </w:r>
          </w:p>
        </w:tc>
        <w:tc>
          <w:tcPr>
            <w:tcW w:w="2891" w:type="dxa"/>
            <w:vAlign w:val="center"/>
          </w:tcPr>
          <w:p>
            <w:pPr>
              <w:pStyle w:val="15"/>
            </w:pPr>
            <w:r>
              <w:t>促进办公一体化，提高工作效率</w:t>
            </w:r>
          </w:p>
        </w:tc>
        <w:tc>
          <w:tcPr>
            <w:tcW w:w="1276" w:type="dxa"/>
            <w:vAlign w:val="center"/>
          </w:tcPr>
          <w:p>
            <w:pPr>
              <w:pStyle w:val="15"/>
            </w:pPr>
            <w:r>
              <w:t>提高工作效率</w:t>
            </w:r>
          </w:p>
        </w:tc>
        <w:tc>
          <w:tcPr>
            <w:tcW w:w="1843" w:type="dxa"/>
            <w:vAlign w:val="center"/>
          </w:tcPr>
          <w:p>
            <w:pPr>
              <w:pStyle w:val="15"/>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通过审批及审管互动平台建设项目运行维护</w:t>
            </w:r>
          </w:p>
        </w:tc>
        <w:tc>
          <w:tcPr>
            <w:tcW w:w="2891" w:type="dxa"/>
            <w:vAlign w:val="center"/>
          </w:tcPr>
          <w:p>
            <w:pPr>
              <w:pStyle w:val="15"/>
            </w:pPr>
            <w:r>
              <w:t>能够长期较好的使用该设备，满足办公需要</w:t>
            </w:r>
          </w:p>
        </w:tc>
        <w:tc>
          <w:tcPr>
            <w:tcW w:w="1276" w:type="dxa"/>
            <w:vAlign w:val="center"/>
          </w:tcPr>
          <w:p>
            <w:pPr>
              <w:pStyle w:val="15"/>
            </w:pPr>
            <w:r>
              <w:t>起到可持续影响</w:t>
            </w:r>
          </w:p>
        </w:tc>
        <w:tc>
          <w:tcPr>
            <w:tcW w:w="1843" w:type="dxa"/>
            <w:vAlign w:val="center"/>
          </w:tcPr>
          <w:p>
            <w:pPr>
              <w:pStyle w:val="15"/>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服务对象满意度</w:t>
            </w:r>
          </w:p>
        </w:tc>
        <w:tc>
          <w:tcPr>
            <w:tcW w:w="2891" w:type="dxa"/>
            <w:vAlign w:val="center"/>
          </w:tcPr>
          <w:p>
            <w:pPr>
              <w:pStyle w:val="15"/>
            </w:pPr>
            <w:r>
              <w:t>服务对象对第三方开展相应工作的满意程度</w:t>
            </w:r>
          </w:p>
        </w:tc>
        <w:tc>
          <w:tcPr>
            <w:tcW w:w="1276" w:type="dxa"/>
            <w:vAlign w:val="center"/>
          </w:tcPr>
          <w:p>
            <w:pPr>
              <w:pStyle w:val="15"/>
            </w:pPr>
            <w:r>
              <w:t>≥95百分之</w:t>
            </w:r>
          </w:p>
        </w:tc>
        <w:tc>
          <w:tcPr>
            <w:tcW w:w="1843" w:type="dxa"/>
            <w:vAlign w:val="center"/>
          </w:tcPr>
          <w:p>
            <w:pPr>
              <w:pStyle w:val="15"/>
            </w:pPr>
            <w:r>
              <w:t>根据实际调查、询问</w:t>
            </w:r>
          </w:p>
        </w:tc>
      </w:tr>
    </w:tbl>
    <w:p>
      <w:pPr>
        <w:spacing w:line="300" w:lineRule="exact"/>
        <w:jc w:val="left"/>
        <w:rPr>
          <w:rFonts w:hint="eastAsia"/>
        </w:rPr>
      </w:pPr>
    </w:p>
    <w:p>
      <w:pPr>
        <w:spacing w:line="300" w:lineRule="exact"/>
        <w:jc w:val="left"/>
        <w:rPr>
          <w:rFonts w:hint="eastAsia"/>
        </w:rPr>
      </w:pPr>
    </w:p>
    <w:p>
      <w:pPr>
        <w:spacing w:line="300" w:lineRule="exact"/>
        <w:jc w:val="left"/>
        <w:rPr>
          <w:rFonts w:hint="eastAsia"/>
        </w:rPr>
      </w:pPr>
    </w:p>
    <w:p>
      <w:pPr>
        <w:spacing w:line="300" w:lineRule="exact"/>
        <w:jc w:val="left"/>
        <w:rPr>
          <w:rFonts w:hint="eastAsia"/>
        </w:rPr>
      </w:pPr>
    </w:p>
    <w:p>
      <w:pPr>
        <w:spacing w:line="300" w:lineRule="exact"/>
        <w:jc w:val="left"/>
        <w:rPr>
          <w:rFonts w:hint="eastAsia"/>
        </w:rPr>
      </w:pPr>
    </w:p>
    <w:p>
      <w:pPr>
        <w:spacing w:line="300" w:lineRule="exact"/>
        <w:jc w:val="left"/>
        <w:rPr>
          <w:rFonts w:hint="eastAsia"/>
        </w:rPr>
      </w:pPr>
    </w:p>
    <w:p>
      <w:pPr>
        <w:spacing w:line="300" w:lineRule="exact"/>
        <w:jc w:val="left"/>
        <w:rPr>
          <w:rFonts w:hint="eastAsia"/>
        </w:rPr>
      </w:pPr>
    </w:p>
    <w:p>
      <w:pPr>
        <w:spacing w:line="300" w:lineRule="exact"/>
        <w:jc w:val="left"/>
        <w:rPr>
          <w:rFonts w:hint="eastAsia"/>
        </w:rPr>
      </w:pPr>
    </w:p>
    <w:p>
      <w:pPr>
        <w:ind w:firstLine="560"/>
        <w:outlineLvl w:val="3"/>
      </w:pPr>
      <w:bookmarkStart w:id="11" w:name="_Toc_4_4_0000000015"/>
      <w:r>
        <w:rPr>
          <w:rFonts w:ascii="方正仿宋_GBK" w:hAnsi="方正仿宋_GBK" w:eastAsia="方正仿宋_GBK" w:cs="方正仿宋_GBK"/>
          <w:color w:val="000000"/>
          <w:sz w:val="28"/>
        </w:rPr>
        <w:t>12.政务服务大厅业务费绩效目标表</w:t>
      </w:r>
      <w:bookmarkEnd w:id="1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ind w:left="420"/>
            </w:pPr>
            <w:r>
              <w:t>209001香河县行政审批局本级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5"/>
            </w:pPr>
            <w:r>
              <w:t>13102422P00751510002E</w:t>
            </w:r>
          </w:p>
        </w:tc>
        <w:tc>
          <w:tcPr>
            <w:tcW w:w="1587" w:type="dxa"/>
            <w:vAlign w:val="center"/>
          </w:tcPr>
          <w:p>
            <w:pPr>
              <w:pStyle w:val="16"/>
            </w:pPr>
            <w:r>
              <w:t>项目名称</w:t>
            </w:r>
          </w:p>
        </w:tc>
        <w:tc>
          <w:tcPr>
            <w:tcW w:w="4422" w:type="dxa"/>
            <w:gridSpan w:val="3"/>
            <w:vAlign w:val="center"/>
          </w:tcPr>
          <w:p>
            <w:pPr>
              <w:pStyle w:val="15"/>
            </w:pPr>
            <w:r>
              <w:t>政务服务大厅业务费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58.20</w:t>
            </w:r>
          </w:p>
        </w:tc>
        <w:tc>
          <w:tcPr>
            <w:tcW w:w="1587" w:type="dxa"/>
            <w:vAlign w:val="center"/>
          </w:tcPr>
          <w:p>
            <w:pPr>
              <w:pStyle w:val="16"/>
            </w:pPr>
            <w:r>
              <w:t>其中：财政    资金</w:t>
            </w:r>
          </w:p>
        </w:tc>
        <w:tc>
          <w:tcPr>
            <w:tcW w:w="1304" w:type="dxa"/>
            <w:vAlign w:val="center"/>
          </w:tcPr>
          <w:p>
            <w:pPr>
              <w:pStyle w:val="15"/>
            </w:pPr>
            <w:r>
              <w:t>58.20</w:t>
            </w:r>
          </w:p>
        </w:tc>
        <w:tc>
          <w:tcPr>
            <w:tcW w:w="1276" w:type="dxa"/>
            <w:vAlign w:val="center"/>
          </w:tcPr>
          <w:p>
            <w:pPr>
              <w:pStyle w:val="16"/>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政务大厅业务费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 xml:space="preserve"> </w:t>
            </w:r>
          </w:p>
        </w:tc>
        <w:tc>
          <w:tcPr>
            <w:tcW w:w="1304" w:type="dxa"/>
            <w:vAlign w:val="center"/>
          </w:tcPr>
          <w:p>
            <w:pPr>
              <w:pStyle w:val="17"/>
            </w:pPr>
            <w:r>
              <w:t xml:space="preserve"> </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5"/>
            </w:pPr>
            <w:r>
              <w:t>1.通过项目的开展，配合有关部门做好深化行政审批制度改革、规范审批行为、优化政务服务环境等工作，负责办理投资项目、文教卫生、社会事务、农林水务等方面行政审批及相关事务，并对审批行为承担相应法律责任。负责政务平台的建设和管理，建立和完善政务服务体系。</w:t>
            </w:r>
          </w:p>
          <w:p>
            <w:pPr>
              <w:pStyle w:val="15"/>
            </w:pPr>
            <w:r>
              <w:t>2.通过项目的开展，保证我单位日常办公用品的购置，印刷费、差旅费、委托业务费等各项业务经费的支出，劳务派遣人员工资及保险的发放等。</w:t>
            </w:r>
          </w:p>
        </w:tc>
      </w:tr>
    </w:tbl>
    <w:p>
      <w:pPr>
        <w:spacing w:line="2" w:lineRule="exact"/>
        <w:jc w:val="center"/>
      </w:pPr>
      <w:r>
        <w:rPr>
          <w:rFonts w:ascii="方正书宋_GBK" w:hAnsi="方正书宋_GBK" w:eastAsia="方正书宋_GBK" w:cs="方正书宋_GBK"/>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劳务派遣人员数量</w:t>
            </w:r>
          </w:p>
        </w:tc>
        <w:tc>
          <w:tcPr>
            <w:tcW w:w="2891" w:type="dxa"/>
            <w:vAlign w:val="center"/>
          </w:tcPr>
          <w:p>
            <w:pPr>
              <w:pStyle w:val="15"/>
            </w:pPr>
            <w:r>
              <w:t>劳务派遣人员数量</w:t>
            </w:r>
          </w:p>
        </w:tc>
        <w:tc>
          <w:tcPr>
            <w:tcW w:w="1276" w:type="dxa"/>
            <w:vAlign w:val="center"/>
          </w:tcPr>
          <w:p>
            <w:pPr>
              <w:pStyle w:val="15"/>
            </w:pPr>
            <w:r>
              <w:t>≥14人</w:t>
            </w:r>
          </w:p>
        </w:tc>
        <w:tc>
          <w:tcPr>
            <w:tcW w:w="1843" w:type="dxa"/>
            <w:vAlign w:val="center"/>
          </w:tcPr>
          <w:p>
            <w:pPr>
              <w:pStyle w:val="15"/>
            </w:pPr>
            <w:r>
              <w:t>根据劳务合同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数量指标</w:t>
            </w:r>
          </w:p>
        </w:tc>
        <w:tc>
          <w:tcPr>
            <w:tcW w:w="1332" w:type="dxa"/>
            <w:vAlign w:val="center"/>
          </w:tcPr>
          <w:p>
            <w:pPr>
              <w:pStyle w:val="15"/>
            </w:pPr>
            <w:r>
              <w:t>外出培训次数</w:t>
            </w:r>
          </w:p>
        </w:tc>
        <w:tc>
          <w:tcPr>
            <w:tcW w:w="2891" w:type="dxa"/>
            <w:vAlign w:val="center"/>
          </w:tcPr>
          <w:p>
            <w:pPr>
              <w:pStyle w:val="15"/>
            </w:pPr>
            <w:r>
              <w:t>外出培训次数</w:t>
            </w:r>
          </w:p>
        </w:tc>
        <w:tc>
          <w:tcPr>
            <w:tcW w:w="1276" w:type="dxa"/>
            <w:vAlign w:val="center"/>
          </w:tcPr>
          <w:p>
            <w:pPr>
              <w:pStyle w:val="15"/>
            </w:pPr>
            <w:r>
              <w:t>≥3次</w:t>
            </w:r>
          </w:p>
        </w:tc>
        <w:tc>
          <w:tcPr>
            <w:tcW w:w="1843" w:type="dxa"/>
            <w:vAlign w:val="center"/>
          </w:tcPr>
          <w:p>
            <w:pPr>
              <w:pStyle w:val="15"/>
            </w:pPr>
            <w:r>
              <w:t>根据上级安排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入职率</w:t>
            </w:r>
          </w:p>
        </w:tc>
        <w:tc>
          <w:tcPr>
            <w:tcW w:w="2891" w:type="dxa"/>
            <w:vAlign w:val="center"/>
          </w:tcPr>
          <w:p>
            <w:pPr>
              <w:pStyle w:val="15"/>
            </w:pPr>
            <w:r>
              <w:t>入职率</w:t>
            </w:r>
          </w:p>
        </w:tc>
        <w:tc>
          <w:tcPr>
            <w:tcW w:w="1276" w:type="dxa"/>
            <w:vAlign w:val="center"/>
          </w:tcPr>
          <w:p>
            <w:pPr>
              <w:pStyle w:val="15"/>
            </w:pPr>
            <w:r>
              <w:t>≥90百分之</w:t>
            </w:r>
          </w:p>
        </w:tc>
        <w:tc>
          <w:tcPr>
            <w:tcW w:w="1843" w:type="dxa"/>
            <w:vAlign w:val="center"/>
          </w:tcPr>
          <w:p>
            <w:pPr>
              <w:pStyle w:val="15"/>
            </w:pPr>
            <w:r>
              <w:t>根据劳务合同统计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培训合格率</w:t>
            </w:r>
          </w:p>
        </w:tc>
        <w:tc>
          <w:tcPr>
            <w:tcW w:w="2891" w:type="dxa"/>
            <w:vAlign w:val="center"/>
          </w:tcPr>
          <w:p>
            <w:pPr>
              <w:pStyle w:val="15"/>
            </w:pPr>
            <w:r>
              <w:t>外出培训人员合格率</w:t>
            </w:r>
          </w:p>
        </w:tc>
        <w:tc>
          <w:tcPr>
            <w:tcW w:w="1276" w:type="dxa"/>
            <w:vAlign w:val="center"/>
          </w:tcPr>
          <w:p>
            <w:pPr>
              <w:pStyle w:val="15"/>
            </w:pPr>
            <w:r>
              <w:t>≥95百分之</w:t>
            </w:r>
          </w:p>
        </w:tc>
        <w:tc>
          <w:tcPr>
            <w:tcW w:w="1843" w:type="dxa"/>
            <w:vAlign w:val="center"/>
          </w:tcPr>
          <w:p>
            <w:pPr>
              <w:pStyle w:val="15"/>
            </w:pPr>
            <w:r>
              <w:t>根据培训文件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项目开始时间</w:t>
            </w:r>
          </w:p>
        </w:tc>
        <w:tc>
          <w:tcPr>
            <w:tcW w:w="2891" w:type="dxa"/>
            <w:vAlign w:val="center"/>
          </w:tcPr>
          <w:p>
            <w:pPr>
              <w:pStyle w:val="15"/>
            </w:pPr>
            <w:r>
              <w:t>项目开始时间</w:t>
            </w:r>
          </w:p>
        </w:tc>
        <w:tc>
          <w:tcPr>
            <w:tcW w:w="1276" w:type="dxa"/>
            <w:vAlign w:val="center"/>
          </w:tcPr>
          <w:p>
            <w:pPr>
              <w:pStyle w:val="15"/>
            </w:pPr>
            <w:r>
              <w:t>2022年1月</w:t>
            </w:r>
          </w:p>
        </w:tc>
        <w:tc>
          <w:tcPr>
            <w:tcW w:w="1843" w:type="dxa"/>
            <w:vAlign w:val="center"/>
          </w:tcPr>
          <w:p>
            <w:pPr>
              <w:pStyle w:val="15"/>
            </w:pPr>
            <w:r>
              <w:t>根据实际情况统计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项目结束时间</w:t>
            </w:r>
          </w:p>
        </w:tc>
        <w:tc>
          <w:tcPr>
            <w:tcW w:w="2891" w:type="dxa"/>
            <w:vAlign w:val="center"/>
          </w:tcPr>
          <w:p>
            <w:pPr>
              <w:pStyle w:val="15"/>
            </w:pPr>
            <w:r>
              <w:t>项目结束时间</w:t>
            </w:r>
          </w:p>
        </w:tc>
        <w:tc>
          <w:tcPr>
            <w:tcW w:w="1276" w:type="dxa"/>
            <w:vAlign w:val="center"/>
          </w:tcPr>
          <w:p>
            <w:pPr>
              <w:pStyle w:val="15"/>
            </w:pPr>
            <w:r>
              <w:t>2022年12月</w:t>
            </w:r>
          </w:p>
        </w:tc>
        <w:tc>
          <w:tcPr>
            <w:tcW w:w="1843" w:type="dxa"/>
            <w:vAlign w:val="center"/>
          </w:tcPr>
          <w:p>
            <w:pPr>
              <w:pStyle w:val="15"/>
            </w:pPr>
            <w:r>
              <w:t>根据实际情况统计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项目预算控制数</w:t>
            </w:r>
          </w:p>
        </w:tc>
        <w:tc>
          <w:tcPr>
            <w:tcW w:w="2891" w:type="dxa"/>
            <w:vAlign w:val="center"/>
          </w:tcPr>
          <w:p>
            <w:pPr>
              <w:pStyle w:val="15"/>
            </w:pPr>
            <w:r>
              <w:t>开展此项目的成本</w:t>
            </w:r>
          </w:p>
        </w:tc>
        <w:tc>
          <w:tcPr>
            <w:tcW w:w="1276" w:type="dxa"/>
            <w:vAlign w:val="center"/>
          </w:tcPr>
          <w:p>
            <w:pPr>
              <w:pStyle w:val="15"/>
            </w:pPr>
            <w:r>
              <w:t>≤58.2万元</w:t>
            </w:r>
          </w:p>
        </w:tc>
        <w:tc>
          <w:tcPr>
            <w:tcW w:w="1843" w:type="dxa"/>
            <w:vAlign w:val="center"/>
          </w:tcPr>
          <w:p>
            <w:pPr>
              <w:pStyle w:val="15"/>
            </w:pPr>
            <w:r>
              <w:t>根据预算申请明细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加强政务平台的建设和管理，建立和完善政务服务体系</w:t>
            </w:r>
          </w:p>
        </w:tc>
        <w:tc>
          <w:tcPr>
            <w:tcW w:w="2891" w:type="dxa"/>
            <w:vAlign w:val="center"/>
          </w:tcPr>
          <w:p>
            <w:pPr>
              <w:pStyle w:val="15"/>
            </w:pPr>
            <w:r>
              <w:t>加强政务平台的建设和管理，建立和完善政务服务体系</w:t>
            </w:r>
          </w:p>
        </w:tc>
        <w:tc>
          <w:tcPr>
            <w:tcW w:w="1276" w:type="dxa"/>
            <w:vAlign w:val="center"/>
          </w:tcPr>
          <w:p>
            <w:pPr>
              <w:pStyle w:val="15"/>
            </w:pPr>
            <w:r>
              <w:t>加强政务平台的建设和管理</w:t>
            </w:r>
          </w:p>
        </w:tc>
        <w:tc>
          <w:tcPr>
            <w:tcW w:w="1843" w:type="dxa"/>
            <w:vAlign w:val="center"/>
          </w:tcPr>
          <w:p>
            <w:pPr>
              <w:pStyle w:val="15"/>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通过日常业务办公平台的完善</w:t>
            </w:r>
          </w:p>
        </w:tc>
        <w:tc>
          <w:tcPr>
            <w:tcW w:w="2891" w:type="dxa"/>
            <w:vAlign w:val="center"/>
          </w:tcPr>
          <w:p>
            <w:pPr>
              <w:pStyle w:val="15"/>
            </w:pPr>
            <w:r>
              <w:t>保障日常工作的顺利进行，提高办公效率</w:t>
            </w:r>
          </w:p>
        </w:tc>
        <w:tc>
          <w:tcPr>
            <w:tcW w:w="1276" w:type="dxa"/>
            <w:vAlign w:val="center"/>
          </w:tcPr>
          <w:p>
            <w:pPr>
              <w:pStyle w:val="15"/>
            </w:pPr>
            <w:r>
              <w:t>起到可持续影响</w:t>
            </w:r>
          </w:p>
        </w:tc>
        <w:tc>
          <w:tcPr>
            <w:tcW w:w="1843" w:type="dxa"/>
            <w:vAlign w:val="center"/>
          </w:tcPr>
          <w:p>
            <w:pPr>
              <w:pStyle w:val="15"/>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服务对象满意度</w:t>
            </w:r>
          </w:p>
        </w:tc>
        <w:tc>
          <w:tcPr>
            <w:tcW w:w="2891" w:type="dxa"/>
            <w:vAlign w:val="center"/>
          </w:tcPr>
          <w:p>
            <w:pPr>
              <w:pStyle w:val="15"/>
            </w:pPr>
            <w:r>
              <w:t>服务对象对第三方开展相应工作的满意程度</w:t>
            </w:r>
          </w:p>
        </w:tc>
        <w:tc>
          <w:tcPr>
            <w:tcW w:w="1276" w:type="dxa"/>
            <w:vAlign w:val="center"/>
          </w:tcPr>
          <w:p>
            <w:pPr>
              <w:pStyle w:val="15"/>
            </w:pPr>
            <w:r>
              <w:t>≥95百分之</w:t>
            </w:r>
          </w:p>
        </w:tc>
        <w:tc>
          <w:tcPr>
            <w:tcW w:w="1843" w:type="dxa"/>
            <w:vAlign w:val="center"/>
          </w:tcPr>
          <w:p>
            <w:pPr>
              <w:pStyle w:val="15"/>
            </w:pPr>
            <w:r>
              <w:t>根据实际调查、询问</w:t>
            </w:r>
          </w:p>
        </w:tc>
      </w:tr>
    </w:tbl>
    <w:p>
      <w:pPr>
        <w:spacing w:line="300" w:lineRule="exact"/>
        <w:jc w:val="left"/>
      </w:pPr>
    </w:p>
    <w:p>
      <w:pPr>
        <w:ind w:firstLine="560"/>
        <w:outlineLvl w:val="3"/>
      </w:pPr>
      <w:bookmarkStart w:id="12" w:name="_Toc_4_4_0000000016"/>
      <w:r>
        <w:rPr>
          <w:rFonts w:ascii="方正仿宋_GBK" w:hAnsi="方正仿宋_GBK" w:eastAsia="方正仿宋_GBK" w:cs="方正仿宋_GBK"/>
          <w:color w:val="000000"/>
          <w:sz w:val="28"/>
        </w:rPr>
        <w:t>13.专家费一体化划转系统费用绩效目标表</w:t>
      </w:r>
      <w:bookmarkEnd w:id="1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ind w:left="420"/>
            </w:pPr>
            <w:r>
              <w:t>209001香河县行政审批局本级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5"/>
            </w:pPr>
            <w:r>
              <w:t>13102422P00783710031F</w:t>
            </w:r>
          </w:p>
        </w:tc>
        <w:tc>
          <w:tcPr>
            <w:tcW w:w="1587" w:type="dxa"/>
            <w:vAlign w:val="center"/>
          </w:tcPr>
          <w:p>
            <w:pPr>
              <w:pStyle w:val="16"/>
            </w:pPr>
            <w:r>
              <w:t>项目名称</w:t>
            </w:r>
          </w:p>
        </w:tc>
        <w:tc>
          <w:tcPr>
            <w:tcW w:w="4422" w:type="dxa"/>
            <w:gridSpan w:val="3"/>
            <w:vAlign w:val="center"/>
          </w:tcPr>
          <w:p>
            <w:pPr>
              <w:pStyle w:val="15"/>
            </w:pPr>
            <w:r>
              <w:t>专家费一体化划转系统费用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6.00</w:t>
            </w:r>
          </w:p>
        </w:tc>
        <w:tc>
          <w:tcPr>
            <w:tcW w:w="1587" w:type="dxa"/>
            <w:vAlign w:val="center"/>
          </w:tcPr>
          <w:p>
            <w:pPr>
              <w:pStyle w:val="16"/>
            </w:pPr>
            <w:r>
              <w:t>其中：财政    资金</w:t>
            </w:r>
          </w:p>
        </w:tc>
        <w:tc>
          <w:tcPr>
            <w:tcW w:w="1304" w:type="dxa"/>
            <w:vAlign w:val="center"/>
          </w:tcPr>
          <w:p>
            <w:pPr>
              <w:pStyle w:val="15"/>
            </w:pPr>
            <w:r>
              <w:t>6.00</w:t>
            </w:r>
          </w:p>
        </w:tc>
        <w:tc>
          <w:tcPr>
            <w:tcW w:w="1276" w:type="dxa"/>
            <w:vAlign w:val="center"/>
          </w:tcPr>
          <w:p>
            <w:pPr>
              <w:pStyle w:val="16"/>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专家费一体化划转系统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 xml:space="preserve"> </w:t>
            </w:r>
          </w:p>
        </w:tc>
        <w:tc>
          <w:tcPr>
            <w:tcW w:w="1304" w:type="dxa"/>
            <w:vAlign w:val="center"/>
          </w:tcPr>
          <w:p>
            <w:pPr>
              <w:pStyle w:val="17"/>
            </w:pPr>
            <w:r>
              <w:t xml:space="preserve"> </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5"/>
            </w:pPr>
            <w:r>
              <w:t>1.通过项目开展，进一步提高香河县公共资源电子交易系统的电子化水平，优化中心服务。</w:t>
            </w:r>
          </w:p>
        </w:tc>
      </w:tr>
    </w:tbl>
    <w:p>
      <w:pPr>
        <w:spacing w:line="2" w:lineRule="exact"/>
        <w:jc w:val="center"/>
      </w:pPr>
      <w:r>
        <w:rPr>
          <w:rFonts w:ascii="方正书宋_GBK" w:hAnsi="方正书宋_GBK" w:eastAsia="方正书宋_GBK" w:cs="方正书宋_GBK"/>
          <w:color w:val="000000"/>
        </w:rPr>
        <w:t xml:space="preserve"> </w:t>
      </w:r>
    </w:p>
    <w:tbl>
      <w:tblPr>
        <w:tblStyle w:val="8"/>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服务时间</w:t>
            </w:r>
          </w:p>
        </w:tc>
        <w:tc>
          <w:tcPr>
            <w:tcW w:w="2891" w:type="dxa"/>
            <w:vAlign w:val="center"/>
          </w:tcPr>
          <w:p>
            <w:pPr>
              <w:pStyle w:val="15"/>
            </w:pPr>
            <w:r>
              <w:t>服务时间</w:t>
            </w:r>
          </w:p>
        </w:tc>
        <w:tc>
          <w:tcPr>
            <w:tcW w:w="1276" w:type="dxa"/>
            <w:vAlign w:val="center"/>
          </w:tcPr>
          <w:p>
            <w:pPr>
              <w:pStyle w:val="15"/>
            </w:pPr>
            <w:r>
              <w:t>12月</w:t>
            </w:r>
          </w:p>
        </w:tc>
        <w:tc>
          <w:tcPr>
            <w:tcW w:w="1843" w:type="dxa"/>
            <w:vAlign w:val="center"/>
          </w:tcPr>
          <w:p>
            <w:pPr>
              <w:pStyle w:val="15"/>
            </w:pPr>
            <w:r>
              <w:t>根据服务合同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稳定性</w:t>
            </w:r>
          </w:p>
        </w:tc>
        <w:tc>
          <w:tcPr>
            <w:tcW w:w="2891" w:type="dxa"/>
            <w:vAlign w:val="center"/>
          </w:tcPr>
          <w:p>
            <w:pPr>
              <w:pStyle w:val="15"/>
            </w:pPr>
            <w:r>
              <w:t>稳定性</w:t>
            </w:r>
          </w:p>
        </w:tc>
        <w:tc>
          <w:tcPr>
            <w:tcW w:w="1276" w:type="dxa"/>
            <w:vAlign w:val="center"/>
          </w:tcPr>
          <w:p>
            <w:pPr>
              <w:pStyle w:val="15"/>
            </w:pPr>
            <w:r>
              <w:t>≥95百分之</w:t>
            </w:r>
          </w:p>
        </w:tc>
        <w:tc>
          <w:tcPr>
            <w:tcW w:w="1843" w:type="dxa"/>
            <w:vAlign w:val="center"/>
          </w:tcPr>
          <w:p>
            <w:pPr>
              <w:pStyle w:val="15"/>
            </w:pPr>
            <w: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运维开始时间</w:t>
            </w:r>
          </w:p>
        </w:tc>
        <w:tc>
          <w:tcPr>
            <w:tcW w:w="2891" w:type="dxa"/>
            <w:vAlign w:val="center"/>
          </w:tcPr>
          <w:p>
            <w:pPr>
              <w:pStyle w:val="15"/>
            </w:pPr>
            <w:r>
              <w:t>运维开始时间</w:t>
            </w:r>
          </w:p>
        </w:tc>
        <w:tc>
          <w:tcPr>
            <w:tcW w:w="1276" w:type="dxa"/>
            <w:vAlign w:val="center"/>
          </w:tcPr>
          <w:p>
            <w:pPr>
              <w:pStyle w:val="15"/>
            </w:pPr>
            <w:r>
              <w:t>2022年1月</w:t>
            </w:r>
          </w:p>
        </w:tc>
        <w:tc>
          <w:tcPr>
            <w:tcW w:w="1843" w:type="dxa"/>
            <w:vAlign w:val="center"/>
          </w:tcPr>
          <w:p>
            <w:pPr>
              <w:pStyle w:val="15"/>
            </w:pPr>
            <w:r>
              <w:t>根据服务合同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运维结束时间</w:t>
            </w:r>
          </w:p>
        </w:tc>
        <w:tc>
          <w:tcPr>
            <w:tcW w:w="2891" w:type="dxa"/>
            <w:vAlign w:val="center"/>
          </w:tcPr>
          <w:p>
            <w:pPr>
              <w:pStyle w:val="15"/>
            </w:pPr>
            <w:r>
              <w:t>运维结束时间</w:t>
            </w:r>
          </w:p>
        </w:tc>
        <w:tc>
          <w:tcPr>
            <w:tcW w:w="1276" w:type="dxa"/>
            <w:vAlign w:val="center"/>
          </w:tcPr>
          <w:p>
            <w:pPr>
              <w:pStyle w:val="15"/>
            </w:pPr>
            <w:r>
              <w:t>2022年12月</w:t>
            </w:r>
          </w:p>
        </w:tc>
        <w:tc>
          <w:tcPr>
            <w:tcW w:w="1843" w:type="dxa"/>
            <w:vAlign w:val="center"/>
          </w:tcPr>
          <w:p>
            <w:pPr>
              <w:pStyle w:val="15"/>
            </w:pPr>
            <w:r>
              <w:t>根据服务合同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项目预算控制数</w:t>
            </w:r>
          </w:p>
        </w:tc>
        <w:tc>
          <w:tcPr>
            <w:tcW w:w="2891" w:type="dxa"/>
            <w:vAlign w:val="center"/>
          </w:tcPr>
          <w:p>
            <w:pPr>
              <w:pStyle w:val="15"/>
            </w:pPr>
            <w:r>
              <w:t>开展此项目的成本</w:t>
            </w:r>
          </w:p>
        </w:tc>
        <w:tc>
          <w:tcPr>
            <w:tcW w:w="1276" w:type="dxa"/>
            <w:vAlign w:val="center"/>
          </w:tcPr>
          <w:p>
            <w:pPr>
              <w:pStyle w:val="15"/>
            </w:pPr>
            <w:r>
              <w:t>≤6万元</w:t>
            </w:r>
          </w:p>
        </w:tc>
        <w:tc>
          <w:tcPr>
            <w:tcW w:w="1843" w:type="dxa"/>
            <w:vAlign w:val="center"/>
          </w:tcPr>
          <w:p>
            <w:pPr>
              <w:pStyle w:val="15"/>
            </w:pPr>
            <w:r>
              <w:t>根据预算申请明细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优化中心服务水平</w:t>
            </w:r>
          </w:p>
        </w:tc>
        <w:tc>
          <w:tcPr>
            <w:tcW w:w="2891" w:type="dxa"/>
            <w:vAlign w:val="center"/>
          </w:tcPr>
          <w:p>
            <w:pPr>
              <w:pStyle w:val="15"/>
            </w:pPr>
            <w:r>
              <w:t>优化中心服务水平</w:t>
            </w:r>
          </w:p>
        </w:tc>
        <w:tc>
          <w:tcPr>
            <w:tcW w:w="1276" w:type="dxa"/>
            <w:vAlign w:val="center"/>
          </w:tcPr>
          <w:p>
            <w:pPr>
              <w:pStyle w:val="15"/>
            </w:pPr>
            <w:r>
              <w:t>服务水平提高</w:t>
            </w:r>
          </w:p>
        </w:tc>
        <w:tc>
          <w:tcPr>
            <w:tcW w:w="1843" w:type="dxa"/>
            <w:vAlign w:val="center"/>
          </w:tcPr>
          <w:p>
            <w:pPr>
              <w:pStyle w:val="15"/>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更好发挥审批职能</w:t>
            </w:r>
          </w:p>
        </w:tc>
        <w:tc>
          <w:tcPr>
            <w:tcW w:w="2891" w:type="dxa"/>
            <w:vAlign w:val="center"/>
          </w:tcPr>
          <w:p>
            <w:pPr>
              <w:pStyle w:val="15"/>
            </w:pPr>
            <w:r>
              <w:t>更好发挥审批职能</w:t>
            </w:r>
          </w:p>
        </w:tc>
        <w:tc>
          <w:tcPr>
            <w:tcW w:w="1276" w:type="dxa"/>
            <w:vAlign w:val="center"/>
          </w:tcPr>
          <w:p>
            <w:pPr>
              <w:pStyle w:val="15"/>
            </w:pPr>
            <w:r>
              <w:t>起到可持续影响</w:t>
            </w:r>
          </w:p>
        </w:tc>
        <w:tc>
          <w:tcPr>
            <w:tcW w:w="1843" w:type="dxa"/>
            <w:vAlign w:val="center"/>
          </w:tcPr>
          <w:p>
            <w:pPr>
              <w:pStyle w:val="15"/>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服务对象满意度</w:t>
            </w:r>
          </w:p>
        </w:tc>
        <w:tc>
          <w:tcPr>
            <w:tcW w:w="2891" w:type="dxa"/>
            <w:vAlign w:val="center"/>
          </w:tcPr>
          <w:p>
            <w:pPr>
              <w:pStyle w:val="15"/>
            </w:pPr>
            <w:r>
              <w:t>服务对象对第三方开展相应工作的满意程度</w:t>
            </w:r>
          </w:p>
        </w:tc>
        <w:tc>
          <w:tcPr>
            <w:tcW w:w="1276" w:type="dxa"/>
            <w:vAlign w:val="center"/>
          </w:tcPr>
          <w:p>
            <w:pPr>
              <w:pStyle w:val="15"/>
            </w:pPr>
            <w:r>
              <w:t>≥95百分之</w:t>
            </w:r>
          </w:p>
        </w:tc>
        <w:tc>
          <w:tcPr>
            <w:tcW w:w="1843" w:type="dxa"/>
            <w:vAlign w:val="center"/>
          </w:tcPr>
          <w:p>
            <w:pPr>
              <w:pStyle w:val="15"/>
            </w:pPr>
            <w:r>
              <w:t>根据实际调查、询问</w:t>
            </w:r>
          </w:p>
        </w:tc>
      </w:tr>
    </w:tbl>
    <w:p>
      <w:pPr>
        <w:spacing w:line="300"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3"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2</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p>
      <w:pPr>
        <w:spacing w:line="584" w:lineRule="exact"/>
        <w:ind w:firstLine="640" w:firstLineChars="200"/>
        <w:outlineLvl w:val="0"/>
        <w:rPr>
          <w:rFonts w:ascii="Times New Roman" w:hAnsi="Times New Roman" w:eastAsia="仿宋_GB2312" w:cs="Times New Roman"/>
          <w:sz w:val="32"/>
          <w:szCs w:val="24"/>
        </w:rPr>
      </w:pPr>
    </w:p>
    <w:bookmarkEnd w:id="13"/>
    <w:p>
      <w:pPr>
        <w:jc w:val="center"/>
        <w:outlineLvl w:val="1"/>
        <w:rPr>
          <w:rFonts w:ascii="Times New Roman" w:hAnsi="Times New Roman" w:cs="Times New Roman"/>
          <w:sz w:val="32"/>
        </w:rPr>
      </w:pPr>
      <w:bookmarkStart w:id="14" w:name="_Toc64920910"/>
      <w:r>
        <w:rPr>
          <w:rFonts w:hint="eastAsia" w:ascii="方正小标宋_GBK" w:eastAsia="方正小标宋_GBK" w:cs="Times New Roman"/>
          <w:sz w:val="32"/>
        </w:rPr>
        <w:t>部门政府采购预算</w:t>
      </w:r>
      <w:bookmarkEnd w:id="14"/>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hint="eastAsia" w:ascii="方正小标宋_GBK" w:eastAsia="方正小标宋_GBK"/>
                <w:sz w:val="24"/>
              </w:rPr>
              <w:t>香河县</w:t>
            </w:r>
            <w:r>
              <w:rPr>
                <w:rFonts w:hint="eastAsia" w:ascii="方正小标宋_GBK" w:eastAsia="方正小标宋_GBK"/>
                <w:sz w:val="24"/>
                <w:lang w:val="en-US" w:eastAsia="zh-CN"/>
              </w:rPr>
              <w:t>行政审批</w:t>
            </w:r>
            <w:r>
              <w:rPr>
                <w:rFonts w:hint="eastAsia" w:ascii="方正小标宋_GBK" w:eastAsia="方正小标宋_GBK"/>
                <w:sz w:val="24"/>
              </w:rPr>
              <w:t>局</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香河县</w:t>
      </w:r>
      <w:r>
        <w:rPr>
          <w:rFonts w:hint="eastAsia" w:ascii="Times New Roman" w:hAnsi="Times New Roman" w:eastAsia="仿宋_GB2312" w:cs="Times New Roman"/>
          <w:sz w:val="32"/>
          <w:szCs w:val="32"/>
        </w:rPr>
        <w:t>行政审批局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rPr>
        <w:t>1181.64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编制部门：香河县</w:t>
            </w:r>
            <w:r>
              <w:rPr>
                <w:rFonts w:hint="eastAsia" w:ascii="Times New Roman" w:hAnsi="Times New Roman" w:eastAsia="仿宋_GB2312" w:cs="Times New Roman"/>
                <w:kern w:val="0"/>
                <w:sz w:val="22"/>
              </w:rPr>
              <w:t>行政审批局</w:t>
            </w:r>
          </w:p>
        </w:tc>
        <w:tc>
          <w:tcPr>
            <w:tcW w:w="5103" w:type="dxa"/>
            <w:tcBorders>
              <w:top w:val="nil"/>
              <w:left w:val="nil"/>
              <w:bottom w:val="nil"/>
              <w:right w:val="nil"/>
            </w:tcBorders>
            <w:shd w:val="clear" w:color="auto" w:fill="auto"/>
            <w:noWrap/>
            <w:vAlign w:val="center"/>
          </w:tcPr>
          <w:p>
            <w:pPr>
              <w:widowControl/>
              <w:spacing w:line="584" w:lineRule="exact"/>
              <w:ind w:firstLine="1650" w:firstLineChars="750"/>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1232..97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14.38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9</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654.75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563.84</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财政预算管理的“三公”经费，是指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4"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仿宋_GBK">
    <w:altName w:val="宋体"/>
    <w:panose1 w:val="00000000000000000000"/>
    <w:charset w:val="86"/>
    <w:family w:val="roman"/>
    <w:pitch w:val="default"/>
    <w:sig w:usb0="00000000" w:usb1="00000000" w:usb2="00000000" w:usb3="00000000" w:csb0="00040001" w:csb1="00000000"/>
  </w:font>
  <w:font w:name="方正小标宋_GBK">
    <w:altName w:val="Arial Unicode MS"/>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0"/>
      </w:rPr>
    </w:pPr>
    <w:r>
      <w:fldChar w:fldCharType="begin"/>
    </w:r>
    <w:r>
      <w:rPr>
        <w:rStyle w:val="10"/>
      </w:rPr>
      <w:instrText xml:space="preserve">PAGE  </w:instrText>
    </w:r>
    <w:r>
      <w:fldChar w:fldCharType="separate"/>
    </w:r>
    <w:r>
      <w:rPr>
        <w:rStyle w:val="10"/>
      </w:rPr>
      <w:t>25</w:t>
    </w:r>
    <w: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28</w:t>
    </w:r>
    <w:r>
      <w:rPr>
        <w:lang w:val="zh-CN"/>
      </w:rPr>
      <w:fldChar w:fldCharType="end"/>
    </w:r>
    <w:r>
      <w:rPr>
        <w:rFonts w:hint="eastAsia"/>
      </w:rPr>
      <w:t>-</w:t>
    </w:r>
  </w:p>
  <w:p>
    <w:pPr>
      <w:pStyle w:val="3"/>
    </w:pP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87583F"/>
    <w:multiLevelType w:val="singleLevel"/>
    <w:tmpl w:val="9E87583F"/>
    <w:lvl w:ilvl="0" w:tentative="0">
      <w:start w:val="2"/>
      <w:numFmt w:val="chineseCounting"/>
      <w:suff w:val="space"/>
      <w:lvlText w:val="第%1部分"/>
      <w:lvlJc w:val="left"/>
      <w:rPr>
        <w:rFonts w:hint="eastAsia"/>
      </w:rPr>
    </w:lvl>
  </w:abstractNum>
  <w:abstractNum w:abstractNumId="1">
    <w:nsid w:val="E6515C97"/>
    <w:multiLevelType w:val="singleLevel"/>
    <w:tmpl w:val="E6515C97"/>
    <w:lvl w:ilvl="0" w:tentative="0">
      <w:start w:val="2"/>
      <w:numFmt w:val="chineseCounting"/>
      <w:suff w:val="nothing"/>
      <w:lvlText w:val="（%1）"/>
      <w:lvlJc w:val="left"/>
      <w:rPr>
        <w:rFonts w:hint="eastAsia"/>
      </w:rPr>
    </w:lvl>
  </w:abstractNum>
  <w:abstractNum w:abstractNumId="2">
    <w:nsid w:val="3F0C40D2"/>
    <w:multiLevelType w:val="singleLevel"/>
    <w:tmpl w:val="3F0C40D2"/>
    <w:lvl w:ilvl="0" w:tentative="0">
      <w:start w:val="5"/>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hMmI0MGZlZDhjNzFlZmFkNDNjY2FiZjRhZTgxODIifQ=="/>
  </w:docVars>
  <w:rsids>
    <w:rsidRoot w:val="00D347CC"/>
    <w:rsid w:val="00007D86"/>
    <w:rsid w:val="00173DC6"/>
    <w:rsid w:val="001C1ECC"/>
    <w:rsid w:val="002059E1"/>
    <w:rsid w:val="002C7716"/>
    <w:rsid w:val="004A34CA"/>
    <w:rsid w:val="004A5297"/>
    <w:rsid w:val="004A54AA"/>
    <w:rsid w:val="004F2381"/>
    <w:rsid w:val="00634768"/>
    <w:rsid w:val="00741520"/>
    <w:rsid w:val="008B1F94"/>
    <w:rsid w:val="00940421"/>
    <w:rsid w:val="009C0E60"/>
    <w:rsid w:val="00AB1BD0"/>
    <w:rsid w:val="00AC06ED"/>
    <w:rsid w:val="00B80935"/>
    <w:rsid w:val="00B81206"/>
    <w:rsid w:val="00C32D36"/>
    <w:rsid w:val="00D347CC"/>
    <w:rsid w:val="00E57C03"/>
    <w:rsid w:val="00EE67B1"/>
    <w:rsid w:val="00F85553"/>
    <w:rsid w:val="0190156B"/>
    <w:rsid w:val="019518CA"/>
    <w:rsid w:val="01E10EBD"/>
    <w:rsid w:val="02974621"/>
    <w:rsid w:val="02B96DC7"/>
    <w:rsid w:val="02C02F82"/>
    <w:rsid w:val="04062A4F"/>
    <w:rsid w:val="04196BCE"/>
    <w:rsid w:val="049001F3"/>
    <w:rsid w:val="04931404"/>
    <w:rsid w:val="051620EB"/>
    <w:rsid w:val="05F06C07"/>
    <w:rsid w:val="069C01A1"/>
    <w:rsid w:val="06D24928"/>
    <w:rsid w:val="07A157AC"/>
    <w:rsid w:val="07DC1CF1"/>
    <w:rsid w:val="09FB5DEA"/>
    <w:rsid w:val="0A4D16CA"/>
    <w:rsid w:val="0AE12098"/>
    <w:rsid w:val="0C9226B9"/>
    <w:rsid w:val="0DC70CA4"/>
    <w:rsid w:val="0EEF42B0"/>
    <w:rsid w:val="0EF8763A"/>
    <w:rsid w:val="10351533"/>
    <w:rsid w:val="12133645"/>
    <w:rsid w:val="126F41E1"/>
    <w:rsid w:val="13AC55F7"/>
    <w:rsid w:val="13D257BD"/>
    <w:rsid w:val="13D434C2"/>
    <w:rsid w:val="14607334"/>
    <w:rsid w:val="14C5245E"/>
    <w:rsid w:val="14E8602E"/>
    <w:rsid w:val="15F82A8D"/>
    <w:rsid w:val="168F4D7C"/>
    <w:rsid w:val="17743CF3"/>
    <w:rsid w:val="18552A66"/>
    <w:rsid w:val="18814BB6"/>
    <w:rsid w:val="18D65017"/>
    <w:rsid w:val="19321BED"/>
    <w:rsid w:val="19547044"/>
    <w:rsid w:val="196A2AA3"/>
    <w:rsid w:val="19991CA7"/>
    <w:rsid w:val="1A394EB8"/>
    <w:rsid w:val="1A4C7339"/>
    <w:rsid w:val="1CAB6F92"/>
    <w:rsid w:val="1D3C40AB"/>
    <w:rsid w:val="1D95790D"/>
    <w:rsid w:val="214210A1"/>
    <w:rsid w:val="21843462"/>
    <w:rsid w:val="21B11766"/>
    <w:rsid w:val="23AF5A57"/>
    <w:rsid w:val="240E3672"/>
    <w:rsid w:val="24A16B7E"/>
    <w:rsid w:val="24FC1AE9"/>
    <w:rsid w:val="25C93B58"/>
    <w:rsid w:val="26D93556"/>
    <w:rsid w:val="27514CEE"/>
    <w:rsid w:val="286A0991"/>
    <w:rsid w:val="29066578"/>
    <w:rsid w:val="291E462F"/>
    <w:rsid w:val="292E4914"/>
    <w:rsid w:val="2B4A4C4F"/>
    <w:rsid w:val="2C143F6B"/>
    <w:rsid w:val="2C547BFE"/>
    <w:rsid w:val="2C962FB3"/>
    <w:rsid w:val="2D995230"/>
    <w:rsid w:val="2E381A65"/>
    <w:rsid w:val="2E8D24C0"/>
    <w:rsid w:val="2EC1111E"/>
    <w:rsid w:val="2F780C21"/>
    <w:rsid w:val="3006651A"/>
    <w:rsid w:val="30717BF3"/>
    <w:rsid w:val="30F33C1F"/>
    <w:rsid w:val="321631AE"/>
    <w:rsid w:val="32617CA9"/>
    <w:rsid w:val="327C404E"/>
    <w:rsid w:val="32CE3CF3"/>
    <w:rsid w:val="360959C0"/>
    <w:rsid w:val="36302F2F"/>
    <w:rsid w:val="37710761"/>
    <w:rsid w:val="37965223"/>
    <w:rsid w:val="37A73D48"/>
    <w:rsid w:val="38252734"/>
    <w:rsid w:val="387051FF"/>
    <w:rsid w:val="388400C6"/>
    <w:rsid w:val="39084296"/>
    <w:rsid w:val="39B90A09"/>
    <w:rsid w:val="3BDD136C"/>
    <w:rsid w:val="3D095BCE"/>
    <w:rsid w:val="3DCB4869"/>
    <w:rsid w:val="3FAE6BDB"/>
    <w:rsid w:val="412D7948"/>
    <w:rsid w:val="421A19A3"/>
    <w:rsid w:val="424A3731"/>
    <w:rsid w:val="425020CE"/>
    <w:rsid w:val="43812A65"/>
    <w:rsid w:val="44501C10"/>
    <w:rsid w:val="44664C0F"/>
    <w:rsid w:val="44E01F7B"/>
    <w:rsid w:val="44ED4417"/>
    <w:rsid w:val="4512776B"/>
    <w:rsid w:val="458372CC"/>
    <w:rsid w:val="4599386D"/>
    <w:rsid w:val="46200461"/>
    <w:rsid w:val="46B80047"/>
    <w:rsid w:val="486C3AE6"/>
    <w:rsid w:val="492E7011"/>
    <w:rsid w:val="49E61973"/>
    <w:rsid w:val="4A5E05E6"/>
    <w:rsid w:val="4AEB34BF"/>
    <w:rsid w:val="4B05119A"/>
    <w:rsid w:val="4C823DE0"/>
    <w:rsid w:val="4DB92AF6"/>
    <w:rsid w:val="4DD03901"/>
    <w:rsid w:val="4E297AD9"/>
    <w:rsid w:val="4EC2178C"/>
    <w:rsid w:val="4EC50A0C"/>
    <w:rsid w:val="51A233AB"/>
    <w:rsid w:val="51C81037"/>
    <w:rsid w:val="51FC16FD"/>
    <w:rsid w:val="52052766"/>
    <w:rsid w:val="527D165E"/>
    <w:rsid w:val="52C56F79"/>
    <w:rsid w:val="52CA77A7"/>
    <w:rsid w:val="530C13E6"/>
    <w:rsid w:val="534502BB"/>
    <w:rsid w:val="53885A25"/>
    <w:rsid w:val="538F0070"/>
    <w:rsid w:val="53E2213A"/>
    <w:rsid w:val="54A600F7"/>
    <w:rsid w:val="54F72666"/>
    <w:rsid w:val="569145C9"/>
    <w:rsid w:val="56D41CCD"/>
    <w:rsid w:val="57625D15"/>
    <w:rsid w:val="57713CE7"/>
    <w:rsid w:val="57831797"/>
    <w:rsid w:val="586B326D"/>
    <w:rsid w:val="58B319EF"/>
    <w:rsid w:val="5AF63283"/>
    <w:rsid w:val="5BB938A0"/>
    <w:rsid w:val="5BEF473A"/>
    <w:rsid w:val="5C1014EB"/>
    <w:rsid w:val="5C341BF9"/>
    <w:rsid w:val="5C4F4489"/>
    <w:rsid w:val="5E3336EE"/>
    <w:rsid w:val="5E64041A"/>
    <w:rsid w:val="5F312292"/>
    <w:rsid w:val="5FE046CC"/>
    <w:rsid w:val="6038070B"/>
    <w:rsid w:val="61B75D5A"/>
    <w:rsid w:val="62633E14"/>
    <w:rsid w:val="62E17040"/>
    <w:rsid w:val="63253AFD"/>
    <w:rsid w:val="63500B5E"/>
    <w:rsid w:val="63BF1504"/>
    <w:rsid w:val="63D06B4A"/>
    <w:rsid w:val="64DF3528"/>
    <w:rsid w:val="6542604D"/>
    <w:rsid w:val="65B14EFA"/>
    <w:rsid w:val="65B20EEA"/>
    <w:rsid w:val="65D6094D"/>
    <w:rsid w:val="6603208C"/>
    <w:rsid w:val="66EF5D31"/>
    <w:rsid w:val="67C8091A"/>
    <w:rsid w:val="684C4AE8"/>
    <w:rsid w:val="68F44652"/>
    <w:rsid w:val="68FD6E97"/>
    <w:rsid w:val="6949302A"/>
    <w:rsid w:val="69D52433"/>
    <w:rsid w:val="6A5D21F2"/>
    <w:rsid w:val="6A606549"/>
    <w:rsid w:val="6B9746EF"/>
    <w:rsid w:val="6C2829BB"/>
    <w:rsid w:val="6D7F73A9"/>
    <w:rsid w:val="6EAD41E8"/>
    <w:rsid w:val="6F816FBE"/>
    <w:rsid w:val="6FE73F52"/>
    <w:rsid w:val="6FE8470D"/>
    <w:rsid w:val="6FEB14B4"/>
    <w:rsid w:val="700B7C77"/>
    <w:rsid w:val="70253958"/>
    <w:rsid w:val="707D69EB"/>
    <w:rsid w:val="71097A4E"/>
    <w:rsid w:val="7122620C"/>
    <w:rsid w:val="7155605A"/>
    <w:rsid w:val="7177042D"/>
    <w:rsid w:val="71790A2C"/>
    <w:rsid w:val="718B5F2F"/>
    <w:rsid w:val="729B0B46"/>
    <w:rsid w:val="738B5A5E"/>
    <w:rsid w:val="740E0E5A"/>
    <w:rsid w:val="76201B3F"/>
    <w:rsid w:val="76A410AC"/>
    <w:rsid w:val="76CD66CE"/>
    <w:rsid w:val="78D67002"/>
    <w:rsid w:val="798B0BFA"/>
    <w:rsid w:val="799810B3"/>
    <w:rsid w:val="7AA8730A"/>
    <w:rsid w:val="7AFA5FB4"/>
    <w:rsid w:val="7B23264F"/>
    <w:rsid w:val="7B591A45"/>
    <w:rsid w:val="7BF8790D"/>
    <w:rsid w:val="7C3608BB"/>
    <w:rsid w:val="7D843554"/>
    <w:rsid w:val="7F543269"/>
    <w:rsid w:val="7FE825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page number"/>
    <w:basedOn w:val="9"/>
    <w:qFormat/>
    <w:uiPriority w:val="0"/>
  </w:style>
  <w:style w:type="character" w:styleId="11">
    <w:name w:val="footnote reference"/>
    <w:qFormat/>
    <w:uiPriority w:val="0"/>
    <w:rPr>
      <w:vertAlign w:val="superscript"/>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5">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styleId="1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28</Pages>
  <Words>13137</Words>
  <Characters>14093</Characters>
  <Lines>112</Lines>
  <Paragraphs>31</Paragraphs>
  <TotalTime>0</TotalTime>
  <ScaleCrop>false</ScaleCrop>
  <LinksUpToDate>false</LinksUpToDate>
  <CharactersWithSpaces>14222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微信用户</cp:lastModifiedBy>
  <cp:lastPrinted>2018-01-30T06:12:00Z</cp:lastPrinted>
  <dcterms:modified xsi:type="dcterms:W3CDTF">2023-10-11T02:06:08Z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6134DF0075F9497291257C7526475089_13</vt:lpwstr>
  </property>
</Properties>
</file>